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黑体" w:hAnsi="黑体" w:eastAsia="黑体"/>
          <w:b/>
          <w:sz w:val="52"/>
          <w:szCs w:val="44"/>
        </w:rPr>
      </w:pPr>
      <w:bookmarkStart w:id="28" w:name="_GoBack"/>
      <w:r>
        <w:rPr>
          <w:rFonts w:hint="eastAsia" w:ascii="黑体" w:hAnsi="黑体" w:eastAsia="黑体"/>
          <w:b/>
          <w:sz w:val="52"/>
          <w:szCs w:val="44"/>
        </w:rPr>
        <w:t>广东省政务服务事项</w:t>
      </w:r>
      <w:r>
        <w:rPr>
          <w:rFonts w:hint="eastAsia" w:ascii="黑体" w:hAnsi="黑体" w:eastAsia="黑体"/>
          <w:b/>
          <w:sz w:val="52"/>
          <w:szCs w:val="44"/>
          <w:lang w:eastAsia="zh-CN"/>
        </w:rPr>
        <w:t>目录</w:t>
      </w:r>
      <w:r>
        <w:rPr>
          <w:rFonts w:hint="eastAsia" w:ascii="黑体" w:hAnsi="黑体" w:eastAsia="黑体"/>
          <w:b/>
          <w:sz w:val="52"/>
          <w:szCs w:val="44"/>
        </w:rPr>
        <w:t>管理系统</w:t>
      </w:r>
    </w:p>
    <w:p>
      <w:pPr>
        <w:jc w:val="center"/>
        <w:rPr>
          <w:rFonts w:hint="eastAsia" w:ascii="黑体" w:hAnsi="黑体" w:eastAsia="黑体"/>
          <w:b/>
          <w:sz w:val="52"/>
          <w:szCs w:val="44"/>
        </w:rPr>
      </w:pPr>
      <w:r>
        <w:rPr>
          <w:rFonts w:hint="eastAsia" w:ascii="黑体" w:hAnsi="黑体" w:eastAsia="黑体"/>
          <w:b/>
          <w:sz w:val="52"/>
          <w:szCs w:val="44"/>
        </w:rPr>
        <w:t>用户操作手册</w:t>
      </w:r>
    </w:p>
    <w:bookmarkEnd w:id="28"/>
    <w:p>
      <w:pPr>
        <w:jc w:val="center"/>
        <w:rPr>
          <w:rFonts w:hint="eastAsia" w:ascii="黑体" w:hAnsi="黑体" w:eastAsia="黑体"/>
          <w:b/>
          <w:sz w:val="48"/>
          <w:szCs w:val="44"/>
        </w:rPr>
      </w:pPr>
      <w:r>
        <w:rPr>
          <w:rFonts w:hint="eastAsia" w:ascii="黑体" w:hAnsi="黑体" w:eastAsia="黑体"/>
          <w:b/>
          <w:sz w:val="52"/>
          <w:szCs w:val="44"/>
          <w:lang w:val="en-US" w:eastAsia="zh-CN"/>
        </w:rPr>
        <w:t>（镇街村居操作指引）</w:t>
      </w: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b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广东省政务服务数据管理局</w:t>
      </w:r>
    </w:p>
    <w:p>
      <w:pPr>
        <w:jc w:val="center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</w:rPr>
        <w:t>20</w:t>
      </w:r>
      <w:r>
        <w:rPr>
          <w:rFonts w:ascii="仿宋_GB2312" w:hAnsi="微软雅黑" w:eastAsia="仿宋_GB2312"/>
          <w:sz w:val="28"/>
          <w:szCs w:val="28"/>
        </w:rPr>
        <w:t>2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微软雅黑" w:eastAsia="仿宋_GB2312"/>
          <w:sz w:val="28"/>
          <w:szCs w:val="28"/>
        </w:rPr>
        <w:t>年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微软雅黑" w:eastAsia="仿宋_GB2312"/>
          <w:sz w:val="28"/>
          <w:szCs w:val="28"/>
        </w:rPr>
        <w:t>月</w:t>
      </w:r>
    </w:p>
    <w:p/>
    <w:p/>
    <w:p/>
    <w:p/>
    <w:p/>
    <w:p/>
    <w:p/>
    <w:p>
      <w:pPr>
        <w:pStyle w:val="2"/>
        <w:numPr>
          <w:ilvl w:val="0"/>
          <w:numId w:val="0"/>
        </w:numPr>
        <w:bidi w:val="0"/>
        <w:ind w:leftChars="0"/>
        <w:outlineLvl w:val="0"/>
        <w:rPr>
          <w:rFonts w:hint="eastAsia"/>
        </w:rPr>
      </w:pPr>
      <w:bookmarkStart w:id="0" w:name="_Toc48656256"/>
      <w:bookmarkStart w:id="1" w:name="_Toc510192993"/>
      <w:bookmarkStart w:id="2" w:name="_Toc9533"/>
      <w:bookmarkStart w:id="3" w:name="_Toc15878"/>
      <w:bookmarkStart w:id="4" w:name="_Toc27691"/>
      <w:bookmarkStart w:id="5" w:name="_Toc21557"/>
      <w:r>
        <w:rPr>
          <w:rFonts w:hint="eastAsia"/>
          <w:lang w:val="en-US" w:eastAsia="zh-CN"/>
        </w:rPr>
        <w:t>1.</w:t>
      </w:r>
      <w:r>
        <w:rPr>
          <w:rFonts w:hint="eastAsia"/>
        </w:rPr>
        <w:t>登录/退出系统</w:t>
      </w:r>
      <w:bookmarkEnd w:id="0"/>
      <w:bookmarkEnd w:id="1"/>
      <w:bookmarkEnd w:id="2"/>
      <w:bookmarkEnd w:id="3"/>
      <w:bookmarkEnd w:id="4"/>
      <w:bookmarkEnd w:id="5"/>
    </w:p>
    <w:p>
      <w:pPr>
        <w:pStyle w:val="3"/>
        <w:numPr>
          <w:ilvl w:val="1"/>
          <w:numId w:val="1"/>
        </w:numPr>
        <w:ind w:left="576" w:leftChars="0" w:hanging="576" w:firstLineChars="0"/>
        <w:outlineLvl w:val="1"/>
        <w:rPr>
          <w:rFonts w:hint="eastAsia" w:ascii="仿宋_GB2312" w:eastAsia="仿宋_GB2312"/>
        </w:rPr>
      </w:pPr>
      <w:bookmarkStart w:id="6" w:name="_Toc11825"/>
      <w:bookmarkStart w:id="7" w:name="_Toc13868"/>
      <w:bookmarkStart w:id="8" w:name="_Toc29410"/>
      <w:bookmarkStart w:id="9" w:name="_Toc329126685"/>
      <w:bookmarkStart w:id="10" w:name="_Toc29321"/>
      <w:bookmarkStart w:id="11" w:name="_Toc497727557"/>
      <w:bookmarkStart w:id="12" w:name="_Toc48656257"/>
      <w:bookmarkStart w:id="13" w:name="_Toc510192994"/>
      <w:r>
        <w:rPr>
          <w:rFonts w:hint="eastAsia" w:ascii="仿宋_GB2312" w:eastAsia="仿宋_GB2312"/>
        </w:rPr>
        <w:t>登录系统</w:t>
      </w:r>
      <w:bookmarkEnd w:id="6"/>
      <w:bookmarkEnd w:id="7"/>
      <w:bookmarkEnd w:id="8"/>
      <w:bookmarkEnd w:id="9"/>
      <w:bookmarkEnd w:id="10"/>
      <w:bookmarkEnd w:id="11"/>
      <w:bookmarkEnd w:id="12"/>
      <w:bookmarkEnd w:id="13"/>
    </w:p>
    <w:p>
      <w:pPr>
        <w:numPr>
          <w:ilvl w:val="0"/>
          <w:numId w:val="2"/>
        </w:numPr>
        <w:rPr>
          <w:rFonts w:hint="eastAsia" w:ascii="仿宋_GB2312" w:eastAsia="仿宋_GB2312"/>
        </w:rPr>
      </w:pPr>
      <w:r>
        <w:rPr>
          <w:rFonts w:hint="eastAsia" w:ascii="仿宋_GB2312" w:hAnsi="微软雅黑" w:eastAsia="仿宋_GB2312"/>
          <w:b/>
          <w:sz w:val="28"/>
          <w:szCs w:val="28"/>
        </w:rPr>
        <w:t>操作步骤</w:t>
      </w:r>
    </w:p>
    <w:p>
      <w:pPr>
        <w:ind w:firstLine="560" w:firstLineChars="200"/>
        <w:rPr>
          <w:rFonts w:hint="eastAsia" w:ascii="楷体_GB2312" w:hAnsi="Calibri Light" w:eastAsia="楷体_GB2312" w:cstheme="minorBidi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Calibri Light" w:eastAsia="楷体_GB2312" w:cstheme="minorBidi"/>
          <w:bCs/>
          <w:kern w:val="2"/>
          <w:sz w:val="28"/>
          <w:szCs w:val="28"/>
          <w:lang w:val="en-US" w:eastAsia="zh-CN" w:bidi="ar-SA"/>
        </w:rPr>
        <w:t>在浏览器地址栏内输入系统网址http://19.15.0.24/gdsqlk，推荐浏览器：火狐浏览器、谷歌浏览器。</w:t>
      </w:r>
    </w:p>
    <w:p>
      <w:pPr>
        <w:ind w:firstLine="560" w:firstLineChars="20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楷体_GB2312" w:hAnsi="Calibri Light" w:eastAsia="楷体_GB2312" w:cstheme="minorBidi"/>
          <w:bCs/>
          <w:kern w:val="2"/>
          <w:sz w:val="28"/>
          <w:szCs w:val="28"/>
          <w:lang w:val="en-US" w:eastAsia="zh-CN" w:bidi="ar-SA"/>
        </w:rPr>
        <w:t>在登录框中输入正确的用户名、密码和验证码登录系统，登录后进入系统首页。如遇账号被锁等异常情况，请联系新点技术人员(</w:t>
      </w:r>
      <w:r>
        <w:rPr>
          <w:rFonts w:hint="eastAsia" w:ascii="楷体_GB2312" w:hAnsi="Calibri Light" w:eastAsia="楷体_GB2312" w:cstheme="minorBidi"/>
          <w:bCs/>
          <w:color w:val="FF0000"/>
          <w:kern w:val="2"/>
          <w:sz w:val="28"/>
          <w:szCs w:val="28"/>
          <w:lang w:val="en-US" w:eastAsia="zh-CN" w:bidi="ar-SA"/>
        </w:rPr>
        <w:t>微信群或QQ群反馈</w:t>
      </w:r>
      <w:r>
        <w:rPr>
          <w:rFonts w:hint="eastAsia" w:ascii="楷体_GB2312" w:hAnsi="Calibri Light" w:eastAsia="楷体_GB2312" w:cstheme="minorBidi"/>
          <w:bCs/>
          <w:kern w:val="2"/>
          <w:sz w:val="28"/>
          <w:szCs w:val="28"/>
          <w:lang w:val="en-US" w:eastAsia="zh-CN" w:bidi="ar-SA"/>
        </w:rPr>
        <w:t>)协助重置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。</w:t>
      </w:r>
    </w:p>
    <w:p>
      <w:pPr>
        <w:rPr>
          <w:rFonts w:hint="eastAsia" w:ascii="仿宋_GB2312" w:hAnsi="微软雅黑" w:eastAsia="仿宋_GB2312"/>
        </w:rPr>
      </w:pPr>
      <w:r>
        <w:drawing>
          <wp:inline distT="0" distB="0" distL="114300" distR="114300">
            <wp:extent cx="4486910" cy="24384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691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1"/>
          <w:numId w:val="1"/>
        </w:numPr>
        <w:bidi w:val="0"/>
        <w:ind w:left="576" w:leftChars="0" w:hanging="576" w:firstLineChars="0"/>
        <w:outlineLvl w:val="1"/>
        <w:rPr>
          <w:rFonts w:hint="eastAsia" w:ascii="仿宋_GB2312" w:hAnsi="微软雅黑" w:eastAsia="仿宋_GB2312"/>
          <w:sz w:val="28"/>
          <w:szCs w:val="28"/>
        </w:rPr>
      </w:pPr>
      <w:bookmarkStart w:id="14" w:name="_Toc497727562"/>
      <w:bookmarkEnd w:id="14"/>
      <w:bookmarkStart w:id="15" w:name="_Toc497727560"/>
      <w:bookmarkEnd w:id="15"/>
      <w:bookmarkStart w:id="16" w:name="_Toc497727559"/>
      <w:bookmarkEnd w:id="16"/>
      <w:bookmarkStart w:id="17" w:name="_Toc497727558"/>
      <w:bookmarkEnd w:id="17"/>
      <w:bookmarkStart w:id="18" w:name="_Toc497727561"/>
      <w:bookmarkEnd w:id="18"/>
      <w:bookmarkStart w:id="19" w:name="_Toc497727563"/>
      <w:bookmarkEnd w:id="19"/>
      <w:bookmarkStart w:id="20" w:name="_Toc510192995"/>
      <w:bookmarkStart w:id="21" w:name="_Toc18240"/>
      <w:bookmarkStart w:id="22" w:name="_Toc1684"/>
      <w:bookmarkStart w:id="23" w:name="_Toc11389"/>
      <w:bookmarkStart w:id="24" w:name="_Toc29669"/>
      <w:bookmarkStart w:id="25" w:name="_Toc497727564"/>
      <w:bookmarkStart w:id="26" w:name="_Toc329126686"/>
      <w:bookmarkStart w:id="27" w:name="_Toc48656258"/>
      <w:r>
        <w:rPr>
          <w:rFonts w:hint="eastAsia"/>
        </w:rPr>
        <w:t>退出系统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r>
        <w:rPr>
          <w:rFonts w:hint="eastAsia" w:ascii="仿宋_GB2312" w:hAnsi="微软雅黑" w:eastAsia="仿宋_GB2312"/>
          <w:sz w:val="28"/>
          <w:szCs w:val="28"/>
        </w:rPr>
        <w:t>点击系统右上角账号并点击“</w:t>
      </w:r>
      <w:r>
        <w:rPr>
          <w:rFonts w:hint="eastAsia" w:ascii="仿宋_GB2312" w:hAnsi="微软雅黑" w:eastAsia="仿宋_GB2312"/>
          <w:color w:val="FF0000"/>
          <w:sz w:val="28"/>
          <w:szCs w:val="28"/>
          <w:lang w:val="en-US" w:eastAsia="zh-CN"/>
        </w:rPr>
        <w:t>注销</w:t>
      </w:r>
      <w:r>
        <w:rPr>
          <w:rFonts w:hint="eastAsia" w:ascii="仿宋_GB2312" w:hAnsi="微软雅黑" w:eastAsia="仿宋_GB2312"/>
          <w:sz w:val="28"/>
          <w:szCs w:val="28"/>
        </w:rPr>
        <w:t>”按钮，退出系统。</w:t>
      </w:r>
    </w:p>
    <w:p>
      <w:pPr>
        <w:ind w:firstLine="420" w:firstLineChars="200"/>
        <w:rPr>
          <w:rFonts w:hint="eastAsia" w:ascii="仿宋_GB2312" w:hAnsi="微软雅黑" w:eastAsia="仿宋_GB2312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3568700" cy="193675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321" w:firstLineChars="100"/>
        <w:jc w:val="both"/>
        <w:rPr>
          <w:rFonts w:hint="eastAsia" w:ascii="Arial" w:hAnsi="Arial" w:eastAsia="黑体" w:cstheme="minorBidi"/>
          <w:b/>
          <w:bCs w:val="0"/>
          <w:kern w:val="2"/>
          <w:sz w:val="32"/>
          <w:szCs w:val="24"/>
          <w:lang w:val="en-US" w:eastAsia="zh-CN" w:bidi="ar-SA"/>
        </w:rPr>
      </w:pPr>
      <w:r>
        <w:rPr>
          <w:rFonts w:hint="eastAsia" w:ascii="Arial" w:hAnsi="Arial" w:eastAsia="黑体" w:cstheme="minorBidi"/>
          <w:b/>
          <w:bCs w:val="0"/>
          <w:kern w:val="2"/>
          <w:sz w:val="32"/>
          <w:szCs w:val="24"/>
          <w:lang w:val="en-US" w:eastAsia="zh-CN" w:bidi="ar-SA"/>
        </w:rPr>
        <w:t>2.操作指引</w:t>
      </w:r>
    </w:p>
    <w:p>
      <w:pPr>
        <w:pStyle w:val="3"/>
        <w:ind w:firstLine="640"/>
        <w:outlineLvl w:val="1"/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2.1区县</w:t>
      </w:r>
      <w:r>
        <w:rPr>
          <w:rFonts w:hint="eastAsia"/>
          <w:sz w:val="28"/>
          <w:szCs w:val="28"/>
        </w:rPr>
        <w:t>事项</w:t>
      </w:r>
      <w:r>
        <w:rPr>
          <w:rFonts w:hint="eastAsia"/>
          <w:sz w:val="28"/>
          <w:szCs w:val="28"/>
          <w:lang w:val="en-US" w:eastAsia="zh-CN"/>
        </w:rPr>
        <w:t>镇街授权</w:t>
      </w:r>
      <w:r>
        <w:rPr>
          <w:rFonts w:hint="eastAsia"/>
          <w:sz w:val="28"/>
          <w:szCs w:val="28"/>
        </w:rPr>
        <w:t>操作步骤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 xml:space="preserve"> </w:t>
      </w:r>
    </w:p>
    <w:p>
      <w:pPr>
        <w:pStyle w:val="5"/>
        <w:ind w:firstLine="640"/>
        <w:rPr>
          <w:rFonts w:hint="eastAsia" w:ascii="楷体_GB2312" w:hAnsi="Calibri Light" w:eastAsia="楷体_GB2312"/>
          <w:bCs/>
          <w:lang w:eastAsia="zh-CN"/>
        </w:rPr>
      </w:pPr>
      <w:r>
        <w:rPr>
          <w:rFonts w:hint="eastAsia" w:ascii="楷体_GB2312" w:hAnsi="Calibri Light" w:eastAsia="楷体_GB2312"/>
          <w:bCs/>
        </w:rPr>
        <w:t>（一）</w:t>
      </w:r>
      <w:r>
        <w:rPr>
          <w:rFonts w:hint="eastAsia" w:ascii="楷体_GB2312" w:hAnsi="Calibri Light" w:eastAsia="楷体_GB2312"/>
          <w:bCs/>
          <w:lang w:eastAsia="zh-CN"/>
        </w:rPr>
        <w:t>区</w:t>
      </w:r>
      <w:r>
        <w:rPr>
          <w:rFonts w:hint="eastAsia" w:ascii="楷体_GB2312" w:hAnsi="Calibri Light" w:eastAsia="楷体_GB2312"/>
          <w:bCs/>
        </w:rPr>
        <w:t>部门通过</w:t>
      </w:r>
      <w:r>
        <w:rPr>
          <w:rFonts w:hint="eastAsia" w:ascii="楷体_GB2312" w:hAnsi="Calibri Light" w:eastAsia="楷体_GB2312"/>
          <w:bCs/>
          <w:lang w:eastAsia="zh-CN"/>
        </w:rPr>
        <w:t>省</w:t>
      </w:r>
      <w:r>
        <w:rPr>
          <w:rFonts w:hint="eastAsia" w:ascii="楷体_GB2312" w:hAnsi="Calibri Light" w:eastAsia="楷体_GB2312"/>
          <w:bCs/>
        </w:rPr>
        <w:t>标准化梳理系统“镇街村居</w:t>
      </w:r>
      <w:r>
        <w:rPr>
          <w:rFonts w:hint="eastAsia" w:ascii="楷体_GB2312" w:hAnsi="Calibri Light" w:eastAsia="楷体_GB2312"/>
          <w:bCs/>
          <w:lang w:eastAsia="zh-CN"/>
        </w:rPr>
        <w:t>授权</w:t>
      </w:r>
      <w:r>
        <w:rPr>
          <w:rFonts w:hint="eastAsia" w:ascii="楷体_GB2312" w:hAnsi="Calibri Light" w:eastAsia="楷体_GB2312"/>
          <w:bCs/>
        </w:rPr>
        <w:t>”功能将实施清单</w:t>
      </w:r>
      <w:r>
        <w:rPr>
          <w:rFonts w:hint="eastAsia" w:ascii="楷体_GB2312" w:hAnsi="Calibri Light" w:eastAsia="楷体_GB2312"/>
          <w:bCs/>
          <w:lang w:eastAsia="zh-CN"/>
        </w:rPr>
        <w:t>授权</w:t>
      </w:r>
      <w:r>
        <w:rPr>
          <w:rFonts w:hint="eastAsia" w:ascii="楷体_GB2312" w:hAnsi="Calibri Light" w:eastAsia="楷体_GB2312"/>
          <w:bCs/>
        </w:rPr>
        <w:t>给镇街村居。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步骤1：动态维护——实施清单——镇街村居</w:t>
      </w:r>
      <w:r>
        <w:rPr>
          <w:rFonts w:hint="eastAsia" w:ascii="Times New Roman" w:hAnsi="Times New Roman" w:eastAsia="仿宋_GB2312"/>
          <w:sz w:val="32"/>
          <w:lang w:eastAsia="zh-CN"/>
        </w:rPr>
        <w:t>授权</w:t>
      </w:r>
      <w:r>
        <w:rPr>
          <w:rFonts w:hint="eastAsia" w:ascii="Times New Roman" w:hAnsi="Times New Roman" w:eastAsia="仿宋_GB2312"/>
          <w:sz w:val="32"/>
        </w:rPr>
        <w:t>——</w:t>
      </w:r>
      <w:r>
        <w:rPr>
          <w:rFonts w:hint="eastAsia" w:ascii="Times New Roman" w:hAnsi="Times New Roman" w:eastAsia="仿宋_GB2312"/>
          <w:sz w:val="32"/>
          <w:lang w:eastAsia="zh-CN"/>
        </w:rPr>
        <w:t>新增推送</w:t>
      </w:r>
      <w:r>
        <w:rPr>
          <w:rFonts w:hint="eastAsia" w:ascii="Times New Roman" w:hAnsi="Times New Roman" w:eastAsia="仿宋_GB2312"/>
          <w:sz w:val="32"/>
        </w:rPr>
        <w:t>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步骤2：选择需要推送的镇街村居并进行勾选确认即可。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步骤3：根据事项类型与事项名称查找要推送的事项，并且进行勾选“推送”。（可以多项勾选推送）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步骤4：确认镇街村居推送事项。</w:t>
      </w:r>
    </w:p>
    <w:p>
      <w:pPr>
        <w:spacing w:line="360" w:lineRule="auto"/>
        <w:ind w:firstLine="420" w:firstLineChars="200"/>
      </w:pPr>
      <w:r>
        <w:drawing>
          <wp:inline distT="0" distB="0" distL="114300" distR="114300">
            <wp:extent cx="5265420" cy="2004695"/>
            <wp:effectExtent l="0" t="0" r="508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04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</w:pPr>
      <w:r>
        <w:drawing>
          <wp:inline distT="0" distB="0" distL="114300" distR="114300">
            <wp:extent cx="5267325" cy="2123440"/>
            <wp:effectExtent l="0" t="0" r="3175" b="101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23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</w:pPr>
    </w:p>
    <w:p>
      <w:pPr>
        <w:spacing w:line="360" w:lineRule="auto"/>
        <w:ind w:firstLine="420" w:firstLineChars="200"/>
      </w:pPr>
      <w:r>
        <w:drawing>
          <wp:inline distT="0" distB="0" distL="114300" distR="114300">
            <wp:extent cx="5269865" cy="2094230"/>
            <wp:effectExtent l="0" t="0" r="63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094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</w:pPr>
      <w:r>
        <w:drawing>
          <wp:inline distT="0" distB="0" distL="114300" distR="114300">
            <wp:extent cx="5271770" cy="2835275"/>
            <wp:effectExtent l="0" t="0" r="1143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35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rPr>
          <w:rFonts w:hint="eastAsia"/>
        </w:rPr>
      </w:pPr>
      <w:r>
        <w:drawing>
          <wp:inline distT="0" distB="0" distL="114300" distR="114300">
            <wp:extent cx="5272405" cy="1474470"/>
            <wp:effectExtent l="0" t="0" r="10795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74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outlineLvl w:val="1"/>
        <w:rPr>
          <w:rFonts w:hint="eastAsia" w:ascii="Times New Roman" w:hAnsi="Times New Roman" w:eastAsia="仿宋_GB2312"/>
          <w:b/>
          <w:bCs/>
          <w:sz w:val="32"/>
        </w:rPr>
      </w:pPr>
      <w:r>
        <w:rPr>
          <w:rFonts w:hint="eastAsia" w:ascii="Times New Roman" w:hAnsi="Times New Roman" w:eastAsia="仿宋_GB2312"/>
          <w:b/>
          <w:bCs/>
          <w:sz w:val="32"/>
          <w:lang w:val="en-US" w:eastAsia="zh-CN"/>
        </w:rPr>
        <w:t>2.2</w:t>
      </w:r>
      <w:r>
        <w:rPr>
          <w:rFonts w:hint="eastAsia" w:ascii="Times New Roman" w:hAnsi="Times New Roman" w:eastAsia="仿宋_GB2312"/>
          <w:b/>
          <w:bCs/>
          <w:sz w:val="32"/>
          <w:lang w:eastAsia="zh-CN"/>
        </w:rPr>
        <w:t>进入</w:t>
      </w:r>
      <w:r>
        <w:rPr>
          <w:rFonts w:hint="eastAsia" w:ascii="楷体_GB2312" w:hAnsi="Calibri Light" w:eastAsia="楷体_GB2312"/>
          <w:bCs/>
          <w:sz w:val="32"/>
          <w:szCs w:val="32"/>
        </w:rPr>
        <w:t>镇街村居的</w:t>
      </w:r>
      <w:r>
        <w:rPr>
          <w:rFonts w:hint="eastAsia" w:ascii="楷体_GB2312" w:hAnsi="Calibri Light" w:eastAsia="楷体_GB2312"/>
          <w:bCs/>
          <w:sz w:val="32"/>
          <w:szCs w:val="32"/>
          <w:lang w:eastAsia="zh-CN"/>
        </w:rPr>
        <w:t>账号</w:t>
      </w:r>
      <w:r>
        <w:rPr>
          <w:rFonts w:hint="eastAsia" w:ascii="楷体_GB2312" w:hAnsi="Calibri Light" w:eastAsia="楷体_GB2312"/>
          <w:bCs/>
          <w:sz w:val="32"/>
          <w:szCs w:val="32"/>
        </w:rPr>
        <w:t>补充完善办事窗口信息后发布事项。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</w:rPr>
        <w:t>步骤1：动态维护--&gt;实施清单--&gt;实施清单维护--&gt;事项类型--&gt;待备案”模块查看区县推送的事项。</w:t>
      </w:r>
      <w:r>
        <w:rPr>
          <w:rFonts w:hint="eastAsia" w:ascii="Times New Roman" w:hAnsi="Times New Roman" w:eastAsia="仿宋_GB2312"/>
          <w:sz w:val="32"/>
          <w:lang w:val="en-US" w:eastAsia="zh-CN"/>
        </w:rPr>
        <w:t>(图一)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lang w:eastAsia="zh-CN"/>
        </w:rPr>
      </w:pPr>
      <w:r>
        <w:rPr>
          <w:rFonts w:hint="eastAsia" w:ascii="Times New Roman" w:hAnsi="Times New Roman" w:eastAsia="仿宋_GB2312"/>
          <w:sz w:val="32"/>
        </w:rPr>
        <w:t>步骤2：点击该推送事项，只需要维护基本信息中的“办事窗口信息”。</w:t>
      </w:r>
      <w:r>
        <w:rPr>
          <w:rFonts w:hint="eastAsia" w:ascii="Times New Roman" w:hAnsi="Times New Roman" w:eastAsia="仿宋_GB2312"/>
          <w:sz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lang w:val="en-US" w:eastAsia="zh-CN"/>
        </w:rPr>
        <w:t>图二</w:t>
      </w:r>
      <w:r>
        <w:rPr>
          <w:rFonts w:hint="eastAsia" w:ascii="Times New Roman" w:hAnsi="Times New Roman" w:eastAsia="仿宋_GB2312"/>
          <w:sz w:val="32"/>
          <w:lang w:eastAsia="zh-CN"/>
        </w:rPr>
        <w:t>）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lang w:eastAsia="zh-CN"/>
        </w:rPr>
      </w:pPr>
      <w:r>
        <w:rPr>
          <w:rFonts w:hint="eastAsia" w:ascii="Times New Roman" w:hAnsi="Times New Roman" w:eastAsia="仿宋_GB2312"/>
          <w:sz w:val="32"/>
        </w:rPr>
        <w:t>步骤3：如果办理窗口检索不到该窗口，则在“动态维护-窗口管理”新增窗口，再进行勾选。</w:t>
      </w:r>
      <w:r>
        <w:rPr>
          <w:rFonts w:hint="eastAsia" w:ascii="Times New Roman" w:hAnsi="Times New Roman" w:eastAsia="仿宋_GB2312"/>
          <w:sz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lang w:val="en-US" w:eastAsia="zh-CN"/>
        </w:rPr>
        <w:t>图三</w:t>
      </w:r>
      <w:r>
        <w:rPr>
          <w:rFonts w:hint="eastAsia" w:ascii="Times New Roman" w:hAnsi="Times New Roman" w:eastAsia="仿宋_GB2312"/>
          <w:sz w:val="32"/>
          <w:lang w:eastAsia="zh-CN"/>
        </w:rPr>
        <w:t>）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lang w:eastAsia="zh-CN"/>
        </w:rPr>
      </w:pPr>
      <w:r>
        <w:rPr>
          <w:rFonts w:hint="eastAsia" w:ascii="Times New Roman" w:hAnsi="Times New Roman" w:eastAsia="仿宋_GB2312"/>
          <w:sz w:val="32"/>
        </w:rPr>
        <w:t>步骤4：点击上报备案，等待确认备案成功后在该事项类型的已备案里查看实施清单。</w:t>
      </w:r>
      <w:r>
        <w:rPr>
          <w:rFonts w:hint="eastAsia" w:ascii="Times New Roman" w:hAnsi="Times New Roman" w:eastAsia="仿宋_GB2312"/>
          <w:sz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lang w:val="en-US" w:eastAsia="zh-CN"/>
        </w:rPr>
        <w:t>图四</w:t>
      </w:r>
      <w:r>
        <w:rPr>
          <w:rFonts w:hint="eastAsia" w:ascii="Times New Roman" w:hAnsi="Times New Roman" w:eastAsia="仿宋_GB2312"/>
          <w:sz w:val="32"/>
          <w:lang w:eastAsia="zh-CN"/>
        </w:rPr>
        <w:t>）</w:t>
      </w:r>
    </w:p>
    <w:p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lang w:eastAsia="zh-CN"/>
        </w:rPr>
      </w:pPr>
      <w:r>
        <w:rPr>
          <w:rFonts w:hint="eastAsia" w:ascii="Times New Roman" w:hAnsi="Times New Roman" w:eastAsia="仿宋_GB2312"/>
          <w:sz w:val="32"/>
        </w:rPr>
        <w:t>步骤5：在已备案中查看该事项，勾选任意事项，点击发布清单，等待清单状态变成已发布即可。</w:t>
      </w:r>
      <w:r>
        <w:rPr>
          <w:rFonts w:hint="eastAsia" w:ascii="Times New Roman" w:hAnsi="Times New Roman" w:eastAsia="仿宋_GB2312"/>
          <w:sz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lang w:val="en-US" w:eastAsia="zh-CN"/>
        </w:rPr>
        <w:t>图五</w:t>
      </w:r>
      <w:r>
        <w:rPr>
          <w:rFonts w:hint="eastAsia" w:ascii="Times New Roman" w:hAnsi="Times New Roman" w:eastAsia="仿宋_GB2312"/>
          <w:sz w:val="32"/>
          <w:lang w:eastAsia="zh-CN"/>
        </w:rPr>
        <w:t>）</w:t>
      </w:r>
    </w:p>
    <w:p>
      <w:pPr>
        <w:spacing w:line="360" w:lineRule="auto"/>
        <w:rPr>
          <w:rFonts w:hint="eastAsia" w:ascii="Times New Roman" w:hAnsi="Times New Roman" w:eastAsia="仿宋_GB2312"/>
          <w:sz w:val="32"/>
          <w:lang w:val="en-US" w:eastAsia="zh-CN"/>
        </w:rPr>
      </w:pPr>
      <w:r>
        <w:drawing>
          <wp:inline distT="0" distB="0" distL="114300" distR="114300">
            <wp:extent cx="5267325" cy="1818640"/>
            <wp:effectExtent l="0" t="0" r="3175" b="1016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818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（图一）</w:t>
      </w:r>
    </w:p>
    <w:p>
      <w:r>
        <w:drawing>
          <wp:inline distT="0" distB="0" distL="114300" distR="114300">
            <wp:extent cx="5268595" cy="1924685"/>
            <wp:effectExtent l="0" t="0" r="1905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924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（图二）</w:t>
      </w:r>
    </w:p>
    <w:p>
      <w:r>
        <w:drawing>
          <wp:inline distT="0" distB="0" distL="114300" distR="114300">
            <wp:extent cx="5272405" cy="1830070"/>
            <wp:effectExtent l="0" t="0" r="1079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（图三）</w:t>
      </w:r>
    </w:p>
    <w:p>
      <w:r>
        <w:drawing>
          <wp:inline distT="0" distB="0" distL="114300" distR="114300">
            <wp:extent cx="5262245" cy="1958340"/>
            <wp:effectExtent l="0" t="0" r="8255" b="1016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958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（图四）</w:t>
      </w:r>
    </w:p>
    <w:p>
      <w:r>
        <w:drawing>
          <wp:inline distT="0" distB="0" distL="114300" distR="114300">
            <wp:extent cx="5276850" cy="1543050"/>
            <wp:effectExtent l="0" t="0" r="11430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（图五）</w:t>
      </w:r>
    </w:p>
    <w:p>
      <w:pPr>
        <w:numPr>
          <w:ilvl w:val="0"/>
          <w:numId w:val="0"/>
        </w:numPr>
        <w:outlineLvl w:val="0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3、技术支持</w:t>
      </w:r>
    </w:p>
    <w:p>
      <w:pPr>
        <w:numPr>
          <w:ilvl w:val="0"/>
          <w:numId w:val="0"/>
        </w:numPr>
        <w:outlineLvl w:val="0"/>
      </w:pPr>
      <w:r>
        <w:drawing>
          <wp:inline distT="0" distB="0" distL="114300" distR="114300">
            <wp:extent cx="1638935" cy="1847215"/>
            <wp:effectExtent l="0" t="0" r="6985" b="1206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184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55775" cy="1836420"/>
            <wp:effectExtent l="0" t="0" r="12065" b="762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55775" cy="183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211" w:firstLineChars="100"/>
        <w:outlineLvl w:val="9"/>
        <w:rPr>
          <w:rFonts w:hint="default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lang w:val="en-US" w:eastAsia="zh-CN"/>
        </w:rPr>
        <w:t>技术支持电话：13631438776、18565076639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B2F9E"/>
    <w:multiLevelType w:val="multilevel"/>
    <w:tmpl w:val="05AB2F9E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">
    <w:nsid w:val="759B06F7"/>
    <w:multiLevelType w:val="multilevel"/>
    <w:tmpl w:val="759B06F7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  <w:sz w:val="32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 w:ascii="微软雅黑" w:hAnsi="微软雅黑" w:eastAsia="微软雅黑"/>
        <w:sz w:val="30"/>
        <w:szCs w:val="28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287" w:hanging="1145"/>
      </w:pPr>
      <w:rPr>
        <w:rFonts w:hint="eastAsia" w:ascii="微软雅黑" w:hAnsi="等线" w:eastAsia="微软雅黑"/>
        <w:color w:val="auto"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ind w:left="1145" w:hanging="1145"/>
      </w:pPr>
      <w:rPr>
        <w:rFonts w:hint="eastAsia" w:eastAsia="微软雅黑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 w:eastAsia="微软雅黑"/>
        <w:sz w:val="24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5371D"/>
    <w:rsid w:val="06772F6E"/>
    <w:rsid w:val="0B2B4778"/>
    <w:rsid w:val="127F716E"/>
    <w:rsid w:val="16090DA1"/>
    <w:rsid w:val="16AE4165"/>
    <w:rsid w:val="1F5A7BCA"/>
    <w:rsid w:val="2375371D"/>
    <w:rsid w:val="27870CC0"/>
    <w:rsid w:val="27D41038"/>
    <w:rsid w:val="28F8158A"/>
    <w:rsid w:val="3D14022A"/>
    <w:rsid w:val="76681B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ind w:firstLine="200" w:firstLineChars="200"/>
      <w:outlineLvl w:val="0"/>
    </w:pPr>
    <w:rPr>
      <w:rFonts w:ascii="黑体" w:hAnsi="Times New Roman" w:eastAsia="黑体"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uiPriority w:val="0"/>
    <w:pPr>
      <w:ind w:firstLine="420" w:firstLineChars="200"/>
    </w:pPr>
    <w:rPr>
      <w:rFonts w:ascii="宋体" w:hAnsi="宋体" w:eastAsia="仿宋_GB2312"/>
      <w:sz w:val="32"/>
      <w:szCs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9">
    <w:name w:val="Hyperlink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国泰新点软件股份有限公司</Company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2018-12-13T02:58:00Z</dcterms:created>
  <dc:creator>陈伟杰</dc:creator>
  <cp:lastModifiedBy>夏聪仁</cp:lastModifiedBy>
  <dcterms:modified xsi:type="dcterms:W3CDTF">2021-03-04T03:12:27Z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