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8771"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57" w:type="dxa"/>
        </w:tblCellMar>
      </w:tblPr>
      <w:tblGrid>
        <w:gridCol w:w="87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57" w:type="dxa"/>
          </w:tblCellMar>
        </w:tblPrEx>
        <w:trPr>
          <w:trHeight w:val="1220" w:hRule="atLeast"/>
          <w:jc w:val="center"/>
        </w:trPr>
        <w:tc>
          <w:tcPr>
            <w:tcW w:w="8771" w:type="dxa"/>
            <w:noWrap w:val="0"/>
            <w:vAlign w:val="center"/>
          </w:tcPr>
          <w:p>
            <w:pPr>
              <w:pStyle w:val="13"/>
              <w:spacing w:line="920" w:lineRule="exact"/>
              <w:ind w:left="-69" w:leftChars="-95" w:right="-407" w:rightChars="-194" w:hanging="130" w:hangingChars="25"/>
              <w:jc w:val="center"/>
              <w:rPr>
                <w:rFonts w:hint="eastAsia" w:ascii="方正小标宋简体" w:hAnsi="方正小标宋简体" w:eastAsia="方正小标宋简体"/>
                <w:color w:val="FF0000"/>
                <w:w w:val="90"/>
                <w:sz w:val="84"/>
                <w:szCs w:val="84"/>
                <w:lang w:eastAsia="zh-CN"/>
              </w:rPr>
            </w:pPr>
            <w:r>
              <w:rPr>
                <w:rFonts w:hint="eastAsia" w:ascii="方正小标宋简体" w:hAnsi="方正小标宋简体" w:eastAsia="方正小标宋简体"/>
                <w:b/>
                <w:bCs/>
                <w:color w:val="FF0000"/>
                <w:spacing w:val="40"/>
                <w:w w:val="100"/>
                <w:kern w:val="0"/>
                <w:sz w:val="44"/>
                <w:szCs w:val="44"/>
                <w:lang w:eastAsia="zh-CN"/>
              </w:rPr>
              <w:t>连州市县域商业体系建设工作领导小组</w:t>
            </w:r>
          </w:p>
        </w:tc>
      </w:tr>
    </w:tbl>
    <w:p>
      <w:pPr>
        <w:ind w:firstLine="400" w:firstLineChars="200"/>
        <w:rPr>
          <w:rFonts w:hint="eastAsia" w:ascii="国标仿宋" w:hAnsi="国标仿宋" w:eastAsia="国标仿宋" w:cs="国标仿宋"/>
          <w:b/>
          <w:bCs/>
          <w:sz w:val="32"/>
          <w:szCs w:val="32"/>
          <w:lang w:val="en-US"/>
        </w:rPr>
      </w:pPr>
      <w:r>
        <w:rPr>
          <w:rFonts w:ascii="Calibri" w:hAnsi="Calibri" w:eastAsia="宋体" w:cs="黑体"/>
          <w:color w:val="FF0000"/>
          <w:kern w:val="2"/>
          <w:sz w:val="20"/>
          <w:szCs w:val="32"/>
          <w:lang w:bidi="ar-SA"/>
        </w:rPr>
        <mc:AlternateContent>
          <mc:Choice Requires="wps">
            <w:drawing>
              <wp:anchor distT="0" distB="0" distL="114300" distR="114300" simplePos="0" relativeHeight="251659264" behindDoc="0" locked="0" layoutInCell="1" allowOverlap="1">
                <wp:simplePos x="0" y="0"/>
                <wp:positionH relativeFrom="column">
                  <wp:posOffset>-254000</wp:posOffset>
                </wp:positionH>
                <wp:positionV relativeFrom="paragraph">
                  <wp:posOffset>68580</wp:posOffset>
                </wp:positionV>
                <wp:extent cx="5764530" cy="1270"/>
                <wp:effectExtent l="0" t="28575" r="1270" b="33655"/>
                <wp:wrapNone/>
                <wp:docPr id="1" name="直接连接符 1"/>
                <wp:cNvGraphicFramePr/>
                <a:graphic xmlns:a="http://schemas.openxmlformats.org/drawingml/2006/main">
                  <a:graphicData uri="http://schemas.microsoft.com/office/word/2010/wordprocessingShape">
                    <wps:wsp>
                      <wps:cNvCnPr/>
                      <wps:spPr>
                        <a:xfrm>
                          <a:off x="0" y="0"/>
                          <a:ext cx="5764530" cy="1270"/>
                        </a:xfrm>
                        <a:prstGeom prst="line">
                          <a:avLst/>
                        </a:prstGeom>
                        <a:ln w="57150" cap="flat" cmpd="thickThin">
                          <a:solidFill>
                            <a:srgbClr val="FF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20pt;margin-top:5.4pt;height:0.1pt;width:453.9pt;z-index:251659264;mso-width-relative:page;mso-height-relative:page;" filled="f" stroked="t" coordsize="21600,21600" o:gfxdata="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6r84ntUAAAAJAQAADwAAAAAAAAABACAAAAA4AAAAZHJzL2Rvd25yZXYueG1s&#10;UEsBAhQAFAAAAAgAh07iQIhhxtjlAQAAowMAAA4AAAAAAAAAAQAgAAAAOgEAAGRycy9lMm9Eb2Mu&#10;eG1sUEsFBgAAAAAGAAYAWQEAAJEFAAAAAA==&#10;">
                <v:fill on="f" focussize="0,0"/>
                <v:stroke weight="4.5pt" color="#FF0000" linestyle="thickThin" joinstyle="round"/>
                <v:imagedata o:title=""/>
                <o:lock v:ext="edit" aspectratio="f"/>
              </v:line>
            </w:pict>
          </mc:Fallback>
        </mc:AlternateContent>
      </w:r>
      <w:r>
        <w:rPr>
          <w:rFonts w:hint="eastAsia" w:ascii="Times New Roman" w:hAnsi="Times New Roman" w:eastAsia="宋体" w:cs="Times New Roman"/>
          <w:b/>
          <w:bCs/>
          <w:sz w:val="28"/>
          <w:szCs w:val="28"/>
          <w:lang w:val="en-US" w:eastAsia="zh-CN"/>
        </w:rPr>
        <w:t xml:space="preserve">                                   </w:t>
      </w:r>
      <w:r>
        <w:rPr>
          <w:rFonts w:hint="eastAsia" w:ascii="国标仿宋" w:hAnsi="国标仿宋" w:eastAsia="国标仿宋" w:cs="国标仿宋"/>
          <w:b w:val="0"/>
          <w:bCs w:val="0"/>
          <w:sz w:val="32"/>
          <w:szCs w:val="32"/>
          <w:lang w:val="en-US" w:eastAsia="zh-CN"/>
        </w:rPr>
        <w:t>连商建组〔</w:t>
      </w:r>
      <w:r>
        <w:rPr>
          <w:rFonts w:hint="eastAsia" w:ascii="国标仿宋" w:hAnsi="国标仿宋" w:eastAsia="国标仿宋" w:cs="国标仿宋"/>
          <w:color w:val="auto"/>
          <w:kern w:val="2"/>
          <w:sz w:val="32"/>
          <w:szCs w:val="32"/>
          <w:lang w:val="en-US" w:eastAsia="zh-CN" w:bidi="ar-SA"/>
        </w:rPr>
        <w:t>2024</w:t>
      </w:r>
      <w:r>
        <w:rPr>
          <w:rFonts w:hint="eastAsia" w:ascii="国标仿宋" w:hAnsi="国标仿宋" w:eastAsia="国标仿宋" w:cs="国标仿宋"/>
          <w:b w:val="0"/>
          <w:bCs w:val="0"/>
          <w:sz w:val="32"/>
          <w:szCs w:val="32"/>
          <w:lang w:val="en-US" w:eastAsia="zh-CN"/>
        </w:rPr>
        <w:t xml:space="preserve">〕3号    </w:t>
      </w:r>
      <w:r>
        <w:rPr>
          <w:rFonts w:hint="eastAsia" w:ascii="国标仿宋" w:hAnsi="国标仿宋" w:eastAsia="国标仿宋" w:cs="国标仿宋"/>
          <w:b/>
          <w:bCs/>
          <w:sz w:val="32"/>
          <w:szCs w:val="32"/>
          <w:lang w:val="en-US" w:eastAsia="zh-CN"/>
        </w:rPr>
        <w:t xml:space="preserve"> </w:t>
      </w:r>
    </w:p>
    <w:p>
      <w:pPr>
        <w:ind w:left="1759" w:leftChars="209" w:hanging="1320" w:hangingChars="300"/>
        <w:jc w:val="left"/>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关于印发连州市县域商业建设行动项目</w:t>
      </w:r>
      <w:bookmarkStart w:id="0" w:name="_GoBack"/>
      <w:bookmarkEnd w:id="0"/>
    </w:p>
    <w:p>
      <w:pPr>
        <w:ind w:left="1756" w:leftChars="836" w:firstLine="0" w:firstLineChars="0"/>
        <w:jc w:val="left"/>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和资金管理办法的通知</w:t>
      </w:r>
    </w:p>
    <w:p>
      <w:pPr>
        <w:ind w:left="1325" w:hanging="960" w:hangingChars="300"/>
        <w:jc w:val="left"/>
        <w:rPr>
          <w:rFonts w:hint="eastAsia" w:ascii="国标仿宋" w:hAnsi="国标仿宋" w:eastAsia="国标仿宋" w:cs="国标仿宋"/>
          <w:b w:val="0"/>
          <w:bCs w:val="0"/>
          <w:sz w:val="32"/>
          <w:szCs w:val="32"/>
          <w:lang w:eastAsia="zh-CN"/>
        </w:rPr>
      </w:pPr>
    </w:p>
    <w:p>
      <w:pPr>
        <w:jc w:val="both"/>
        <w:rPr>
          <w:rFonts w:hint="eastAsia" w:ascii="国标仿宋" w:hAnsi="国标仿宋" w:eastAsia="国标仿宋" w:cs="国标仿宋"/>
          <w:b w:val="0"/>
          <w:bCs w:val="0"/>
          <w:sz w:val="32"/>
          <w:szCs w:val="32"/>
          <w:lang w:eastAsia="zh-CN"/>
        </w:rPr>
      </w:pPr>
      <w:r>
        <w:rPr>
          <w:rFonts w:hint="eastAsia" w:ascii="国标仿宋" w:hAnsi="国标仿宋" w:eastAsia="国标仿宋" w:cs="国标仿宋"/>
          <w:b w:val="0"/>
          <w:bCs w:val="0"/>
          <w:sz w:val="32"/>
          <w:szCs w:val="32"/>
          <w:lang w:eastAsia="zh-CN"/>
        </w:rPr>
        <w:t>各镇（乡）党委、人民政府，市政府有关部门，市直有关单位，驻连有关单位：</w:t>
      </w:r>
    </w:p>
    <w:p>
      <w:pPr>
        <w:jc w:val="both"/>
        <w:rPr>
          <w:rFonts w:hint="eastAsia" w:ascii="国标仿宋" w:hAnsi="国标仿宋" w:eastAsia="国标仿宋" w:cs="国标仿宋"/>
          <w:b w:val="0"/>
          <w:bCs w:val="0"/>
          <w:sz w:val="32"/>
          <w:szCs w:val="32"/>
          <w:lang w:val="en-US" w:eastAsia="zh-CN"/>
        </w:rPr>
      </w:pPr>
      <w:r>
        <w:rPr>
          <w:rFonts w:hint="eastAsia" w:ascii="国标仿宋" w:hAnsi="国标仿宋" w:eastAsia="国标仿宋" w:cs="国标仿宋"/>
          <w:b w:val="0"/>
          <w:bCs w:val="0"/>
          <w:sz w:val="32"/>
          <w:szCs w:val="32"/>
          <w:lang w:val="en-US" w:eastAsia="zh-CN"/>
        </w:rPr>
        <w:t xml:space="preserve">   《连州市县域商业建设行动项目和资金管理办法》已于2024年4月22日经中共连州市委常委会会议审议通过，现正式印发给你们，请认真贯彻执行，如有问题，请径向市工业和信息化局反馈。</w:t>
      </w:r>
    </w:p>
    <w:p>
      <w:pPr>
        <w:jc w:val="both"/>
        <w:rPr>
          <w:rFonts w:hint="default" w:ascii="国标仿宋" w:hAnsi="国标仿宋" w:eastAsia="国标仿宋" w:cs="国标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2560" w:firstLineChars="8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连州市县域商业体系建设工作领导小组</w:t>
      </w:r>
    </w:p>
    <w:p>
      <w:pPr>
        <w:keepNext w:val="0"/>
        <w:keepLines w:val="0"/>
        <w:pageBreakBefore w:val="0"/>
        <w:widowControl w:val="0"/>
        <w:kinsoku/>
        <w:wordWrap/>
        <w:overflowPunct/>
        <w:topLinePunct w:val="0"/>
        <w:autoSpaceDE/>
        <w:autoSpaceDN/>
        <w:bidi w:val="0"/>
        <w:adjustRightInd/>
        <w:snapToGrid/>
        <w:spacing w:line="600" w:lineRule="exact"/>
        <w:ind w:leftChars="70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（代章）</w:t>
      </w:r>
    </w:p>
    <w:p>
      <w:pPr>
        <w:keepNext w:val="0"/>
        <w:keepLines w:val="0"/>
        <w:pageBreakBefore w:val="0"/>
        <w:widowControl w:val="0"/>
        <w:kinsoku/>
        <w:wordWrap/>
        <w:overflowPunct/>
        <w:topLinePunct w:val="0"/>
        <w:autoSpaceDE/>
        <w:autoSpaceDN/>
        <w:bidi w:val="0"/>
        <w:adjustRightInd/>
        <w:snapToGrid/>
        <w:spacing w:line="600" w:lineRule="exact"/>
        <w:ind w:leftChars="700"/>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2024年5月7日</w:t>
      </w:r>
    </w:p>
    <w:p>
      <w:pPr>
        <w:jc w:val="both"/>
        <w:rPr>
          <w:rFonts w:hint="eastAsia" w:ascii="国标仿宋" w:hAnsi="国标仿宋" w:eastAsia="国标仿宋" w:cs="国标仿宋"/>
          <w:b w:val="0"/>
          <w:bCs w:val="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（联系人</w:t>
      </w:r>
      <w:r>
        <w:rPr>
          <w:rFonts w:hint="eastAsia" w:ascii="仿宋_GB2312" w:hAnsi="仿宋_GB2312" w:eastAsia="仿宋_GB2312" w:cs="仿宋_GB2312"/>
          <w:sz w:val="32"/>
          <w:szCs w:val="32"/>
          <w:lang w:eastAsia="zh-CN"/>
        </w:rPr>
        <w:t>及电话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李剑</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6842892</w:t>
      </w:r>
      <w:r>
        <w:rPr>
          <w:rFonts w:hint="eastAsia" w:ascii="仿宋_GB2312" w:hAnsi="仿宋_GB2312" w:eastAsia="仿宋_GB2312" w:cs="仿宋_GB2312"/>
          <w:sz w:val="32"/>
          <w:szCs w:val="32"/>
        </w:rPr>
        <w:t>）</w:t>
      </w:r>
    </w:p>
    <w:p>
      <w:pPr>
        <w:rPr>
          <w:rFonts w:hint="eastAsia" w:ascii="Times New Roman" w:hAnsi="Times New Roman" w:eastAsia="宋体" w:cs="Times New Roman"/>
          <w:sz w:val="28"/>
          <w:szCs w:val="28"/>
        </w:rPr>
      </w:pPr>
    </w:p>
    <w:p>
      <w:pPr>
        <w:rPr>
          <w:rFonts w:hint="eastAsia" w:ascii="Times New Roman" w:hAnsi="Times New Roman" w:eastAsia="宋体" w:cs="Times New Roman"/>
          <w:sz w:val="28"/>
          <w:szCs w:val="28"/>
        </w:rPr>
      </w:pPr>
    </w:p>
    <w:p>
      <w:pPr>
        <w:rPr>
          <w:rFonts w:hint="eastAsia" w:ascii="Times New Roman" w:hAnsi="Times New Roman" w:eastAsia="宋体" w:cs="Times New Roman"/>
          <w:sz w:val="28"/>
          <w:szCs w:val="28"/>
        </w:rPr>
      </w:pPr>
    </w:p>
    <w:p>
      <w:pPr>
        <w:pStyle w:val="2"/>
        <w:spacing w:before="184" w:line="228" w:lineRule="auto"/>
        <w:ind w:left="3884" w:right="726" w:hanging="3261"/>
        <w:jc w:val="center"/>
        <w:outlineLvl w:val="0"/>
        <w:rPr>
          <w:rFonts w:ascii="微软雅黑" w:hAnsi="微软雅黑" w:eastAsia="微软雅黑" w:cs="微软雅黑"/>
          <w:spacing w:val="9"/>
          <w:sz w:val="43"/>
          <w:szCs w:val="43"/>
          <w:lang w:eastAsia="zh-CN"/>
        </w:rPr>
      </w:pPr>
      <w:r>
        <w:rPr>
          <w:rFonts w:hint="eastAsia" w:ascii="微软雅黑" w:hAnsi="微软雅黑" w:eastAsia="微软雅黑" w:cs="微软雅黑"/>
          <w:spacing w:val="9"/>
          <w:sz w:val="43"/>
          <w:szCs w:val="43"/>
          <w:lang w:eastAsia="zh-CN"/>
        </w:rPr>
        <w:t>连州市</w:t>
      </w:r>
      <w:r>
        <w:rPr>
          <w:rFonts w:ascii="微软雅黑" w:hAnsi="微软雅黑" w:eastAsia="微软雅黑" w:cs="微软雅黑"/>
          <w:spacing w:val="9"/>
          <w:sz w:val="43"/>
          <w:szCs w:val="43"/>
          <w:lang w:eastAsia="zh-CN"/>
        </w:rPr>
        <w:t>县域商业建设行动项目</w:t>
      </w:r>
    </w:p>
    <w:p>
      <w:pPr>
        <w:pStyle w:val="2"/>
        <w:spacing w:before="184" w:line="228" w:lineRule="auto"/>
        <w:ind w:left="3884" w:right="726" w:hanging="3261"/>
        <w:jc w:val="center"/>
        <w:outlineLvl w:val="0"/>
        <w:rPr>
          <w:rFonts w:hint="eastAsia" w:eastAsiaTheme="minorEastAsia"/>
          <w:lang w:eastAsia="zh-CN"/>
        </w:rPr>
      </w:pPr>
      <w:r>
        <w:rPr>
          <w:rFonts w:ascii="微软雅黑" w:hAnsi="微软雅黑" w:eastAsia="微软雅黑" w:cs="微软雅黑"/>
          <w:spacing w:val="9"/>
          <w:sz w:val="43"/>
          <w:szCs w:val="43"/>
          <w:lang w:eastAsia="zh-CN"/>
        </w:rPr>
        <w:t>和资金管理办法</w:t>
      </w:r>
    </w:p>
    <w:p>
      <w:pPr>
        <w:spacing w:line="359" w:lineRule="auto"/>
        <w:rPr>
          <w:lang w:eastAsia="zh-CN"/>
        </w:rPr>
      </w:pPr>
    </w:p>
    <w:p>
      <w:pPr>
        <w:spacing w:before="101" w:line="227" w:lineRule="auto"/>
        <w:ind w:left="3328"/>
        <w:rPr>
          <w:rFonts w:hint="eastAsia" w:asciiTheme="majorEastAsia" w:hAnsiTheme="majorEastAsia" w:eastAsiaTheme="majorEastAsia" w:cstheme="majorEastAsia"/>
          <w:b/>
          <w:bCs/>
          <w:sz w:val="36"/>
          <w:szCs w:val="36"/>
          <w:lang w:eastAsia="zh-CN"/>
        </w:rPr>
      </w:pPr>
      <w:r>
        <w:rPr>
          <w:rFonts w:hint="eastAsia" w:asciiTheme="majorEastAsia" w:hAnsiTheme="majorEastAsia" w:eastAsiaTheme="majorEastAsia" w:cstheme="majorEastAsia"/>
          <w:b/>
          <w:bCs/>
          <w:spacing w:val="1"/>
          <w:sz w:val="36"/>
          <w:szCs w:val="36"/>
          <w:lang w:eastAsia="zh-CN"/>
        </w:rPr>
        <w:t>第一章</w:t>
      </w:r>
      <w:r>
        <w:rPr>
          <w:rFonts w:hint="eastAsia" w:asciiTheme="majorEastAsia" w:hAnsiTheme="majorEastAsia" w:eastAsiaTheme="majorEastAsia" w:cstheme="majorEastAsia"/>
          <w:b/>
          <w:bCs/>
          <w:spacing w:val="1"/>
          <w:sz w:val="36"/>
          <w:szCs w:val="36"/>
          <w:lang w:val="en-US" w:eastAsia="zh-CN"/>
        </w:rPr>
        <w:t xml:space="preserve"> </w:t>
      </w:r>
      <w:r>
        <w:rPr>
          <w:rFonts w:hint="eastAsia" w:asciiTheme="majorEastAsia" w:hAnsiTheme="majorEastAsia" w:eastAsiaTheme="majorEastAsia" w:cstheme="majorEastAsia"/>
          <w:b/>
          <w:bCs/>
          <w:spacing w:val="1"/>
          <w:sz w:val="36"/>
          <w:szCs w:val="36"/>
          <w:lang w:eastAsia="zh-CN"/>
        </w:rPr>
        <w:t>总则</w:t>
      </w:r>
    </w:p>
    <w:p>
      <w:pPr>
        <w:spacing w:line="358" w:lineRule="auto"/>
        <w:rPr>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val="en-US" w:eastAsia="zh-CN"/>
        </w:rPr>
        <w:t xml:space="preserve">第一条  </w:t>
      </w:r>
      <w:r>
        <w:rPr>
          <w:rFonts w:hint="eastAsia" w:ascii="仿宋_GB2312" w:hAnsi="仿宋_GB2312" w:eastAsia="仿宋_GB2312" w:cs="仿宋_GB2312"/>
          <w:snapToGrid/>
          <w:kern w:val="2"/>
          <w:sz w:val="32"/>
          <w:szCs w:val="32"/>
          <w:lang w:eastAsia="zh-CN"/>
        </w:rPr>
        <w:t>为规范县域商业建设资金使用和项目管理工作，提高资金使用效益，切实提高县域商业项目建设质量和效益，根据财政部《关于印发&lt;服务业发展资金管理办法&gt;的通知》(财建〔2019〕50号)及我省资金使用管理有关工作要求</w:t>
      </w:r>
      <w:r>
        <w:rPr>
          <w:rFonts w:hint="eastAsia" w:ascii="仿宋_GB2312" w:hAnsi="仿宋_GB2312" w:eastAsia="仿宋_GB2312" w:cs="仿宋_GB2312"/>
          <w:snapToGrid/>
          <w:kern w:val="2"/>
          <w:sz w:val="32"/>
          <w:szCs w:val="32"/>
          <w:lang w:val="en-US" w:eastAsia="zh-CN"/>
        </w:rPr>
        <w:t>和</w:t>
      </w:r>
      <w:r>
        <w:rPr>
          <w:rFonts w:hint="eastAsia" w:ascii="仿宋_GB2312" w:hAnsi="仿宋_GB2312" w:eastAsia="仿宋_GB2312" w:cs="仿宋_GB2312"/>
          <w:snapToGrid/>
          <w:kern w:val="2"/>
          <w:sz w:val="32"/>
          <w:szCs w:val="32"/>
          <w:lang w:eastAsia="zh-CN"/>
        </w:rPr>
        <w:t>《关于确定新一批国家级和省级县域商业建设行动示范县名单的通知》（粤商务建函〔2023〕234号）《广东省商务厅等3部门关于印发县域商业建设行动项目和资金管理办法的通知》（粤商务建函〔2023〕6号）《商务部等15部门办公厅（室）关于印发县域商业建设指南的通知》（商办流通函〔2021〕322号）</w:t>
      </w:r>
      <w:r>
        <w:rPr>
          <w:rFonts w:hint="eastAsia" w:ascii="仿宋_GB2312" w:hAnsi="仿宋_GB2312" w:eastAsia="仿宋_GB2312" w:cs="仿宋_GB2312"/>
          <w:snapToGrid/>
          <w:kern w:val="2"/>
          <w:sz w:val="32"/>
          <w:szCs w:val="32"/>
          <w:lang w:val="en-US" w:eastAsia="zh-CN"/>
        </w:rPr>
        <w:t>等相关文件</w:t>
      </w:r>
      <w:r>
        <w:rPr>
          <w:rFonts w:hint="eastAsia" w:ascii="仿宋_GB2312" w:hAnsi="仿宋_GB2312" w:eastAsia="仿宋_GB2312" w:cs="仿宋_GB2312"/>
          <w:snapToGrid/>
          <w:kern w:val="2"/>
          <w:sz w:val="32"/>
          <w:szCs w:val="32"/>
          <w:lang w:eastAsia="zh-CN"/>
        </w:rPr>
        <w:t>精神，连州市县域商业体系建设工作领导小组结合我市实际，制订本办法。</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val="en-US" w:eastAsia="zh-CN"/>
        </w:rPr>
        <w:t xml:space="preserve">第二条 </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县域商业建设资金（以下简称专项资金），是指安排用于发展我市县域商贸流通体系的财政上级专项资金。</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第三条</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专项资金采取财政奖励、事后支持的方式。</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720" w:firstLineChars="200"/>
        <w:jc w:val="center"/>
        <w:textAlignment w:val="auto"/>
        <w:rPr>
          <w:rFonts w:hint="eastAsia" w:asciiTheme="majorEastAsia" w:hAnsiTheme="majorEastAsia" w:eastAsiaTheme="majorEastAsia" w:cstheme="majorEastAsia"/>
          <w:b/>
          <w:bCs/>
          <w:snapToGrid/>
          <w:kern w:val="2"/>
          <w:sz w:val="36"/>
          <w:szCs w:val="36"/>
          <w:lang w:eastAsia="zh-CN"/>
        </w:rPr>
      </w:pPr>
      <w:r>
        <w:rPr>
          <w:rFonts w:hint="eastAsia" w:asciiTheme="majorEastAsia" w:hAnsiTheme="majorEastAsia" w:eastAsiaTheme="majorEastAsia" w:cstheme="majorEastAsia"/>
          <w:b/>
          <w:bCs/>
          <w:snapToGrid/>
          <w:kern w:val="2"/>
          <w:sz w:val="36"/>
          <w:szCs w:val="36"/>
          <w:lang w:eastAsia="zh-CN"/>
        </w:rPr>
        <w:t>第二章</w:t>
      </w:r>
      <w:r>
        <w:rPr>
          <w:rFonts w:hint="eastAsia" w:asciiTheme="majorEastAsia" w:hAnsiTheme="majorEastAsia" w:eastAsiaTheme="majorEastAsia" w:cstheme="majorEastAsia"/>
          <w:b/>
          <w:bCs/>
          <w:snapToGrid/>
          <w:kern w:val="2"/>
          <w:sz w:val="36"/>
          <w:szCs w:val="36"/>
          <w:lang w:val="en-US" w:eastAsia="zh-CN"/>
        </w:rPr>
        <w:t xml:space="preserve"> </w:t>
      </w:r>
      <w:r>
        <w:rPr>
          <w:rFonts w:hint="eastAsia" w:asciiTheme="majorEastAsia" w:hAnsiTheme="majorEastAsia" w:eastAsiaTheme="majorEastAsia" w:cstheme="majorEastAsia"/>
          <w:b/>
          <w:bCs/>
          <w:snapToGrid/>
          <w:kern w:val="2"/>
          <w:sz w:val="36"/>
          <w:szCs w:val="36"/>
          <w:lang w:eastAsia="zh-CN"/>
        </w:rPr>
        <w:t>专项资金支持对象和支持方向</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napToGrid/>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第四条</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专项资金的支持对象应在</w:t>
      </w:r>
      <w:r>
        <w:rPr>
          <w:rFonts w:hint="eastAsia" w:ascii="仿宋_GB2312" w:hAnsi="仿宋_GB2312" w:eastAsia="仿宋_GB2312" w:cs="仿宋_GB2312"/>
          <w:snapToGrid/>
          <w:kern w:val="2"/>
          <w:sz w:val="32"/>
          <w:szCs w:val="32"/>
          <w:lang w:val="en-US" w:eastAsia="zh-CN"/>
        </w:rPr>
        <w:t>连州市</w:t>
      </w:r>
      <w:r>
        <w:rPr>
          <w:rFonts w:hint="eastAsia" w:ascii="仿宋_GB2312" w:hAnsi="仿宋_GB2312" w:eastAsia="仿宋_GB2312" w:cs="仿宋_GB2312"/>
          <w:snapToGrid/>
          <w:kern w:val="2"/>
          <w:sz w:val="32"/>
          <w:szCs w:val="32"/>
          <w:lang w:eastAsia="zh-CN"/>
        </w:rPr>
        <w:t>地区有实体、有实际运营、实际融入和推动当地经济民生发展，不支持中介机构、招标代理机构、培训机构等主营业务与县域商业建设行动关联不紧密的单位参与项目建设。</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第五条</w:t>
      </w:r>
      <w:r>
        <w:rPr>
          <w:rFonts w:hint="eastAsia" w:ascii="仿宋_GB2312" w:hAnsi="仿宋_GB2312" w:eastAsia="仿宋_GB2312" w:cs="仿宋_GB2312"/>
          <w:b/>
          <w:bCs/>
          <w:snapToGrid/>
          <w:kern w:val="2"/>
          <w:sz w:val="32"/>
          <w:szCs w:val="32"/>
          <w:lang w:val="en-US" w:eastAsia="zh-CN"/>
        </w:rPr>
        <w:t xml:space="preserve">  </w:t>
      </w:r>
      <w:r>
        <w:rPr>
          <w:rFonts w:hint="eastAsia" w:ascii="仿宋_GB2312" w:hAnsi="仿宋_GB2312" w:eastAsia="仿宋_GB2312" w:cs="仿宋_GB2312"/>
          <w:b/>
          <w:bCs/>
          <w:snapToGrid/>
          <w:kern w:val="2"/>
          <w:sz w:val="32"/>
          <w:szCs w:val="32"/>
          <w:lang w:eastAsia="zh-CN"/>
        </w:rPr>
        <w:t>专项资金的支持方向</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2" w:firstLineChars="200"/>
        <w:textAlignment w:val="auto"/>
        <w:rPr>
          <w:rFonts w:hint="eastAsia" w:ascii="仿宋" w:hAnsi="仿宋" w:eastAsia="仿宋" w:cs="仿宋"/>
          <w:sz w:val="32"/>
          <w:szCs w:val="32"/>
        </w:rPr>
      </w:pPr>
      <w:r>
        <w:rPr>
          <w:rFonts w:hint="eastAsia" w:ascii="仿宋" w:hAnsi="仿宋" w:eastAsia="仿宋" w:cs="仿宋"/>
          <w:b/>
          <w:bCs/>
          <w:sz w:val="32"/>
          <w:szCs w:val="32"/>
        </w:rPr>
        <w:t>完善县域商业设施。</w:t>
      </w:r>
      <w:r>
        <w:rPr>
          <w:rFonts w:hint="eastAsia" w:ascii="仿宋" w:hAnsi="仿宋" w:eastAsia="仿宋" w:cs="仿宋"/>
          <w:sz w:val="32"/>
          <w:szCs w:val="32"/>
        </w:rPr>
        <w:t>开展县域商业建设行动，评定一批县域商业建设行动省级示范县，建设改造县城综合商贸服务中心、乡镇商贸网点、集贸市场、村级便民商店等，打造县城和乡镇商业集聚区，增强县城、乡镇消费设施功能，努力满足乡镇多元化个性化特色化消费，努力满足行政村居民就近便利消费，逐步实现县级行政区（县级市、县、自治县）商业建设行动全覆盖。</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2" w:firstLineChars="200"/>
        <w:textAlignment w:val="auto"/>
        <w:rPr>
          <w:rFonts w:hint="eastAsia" w:ascii="仿宋" w:hAnsi="仿宋" w:eastAsia="仿宋" w:cs="仿宋"/>
          <w:sz w:val="32"/>
          <w:szCs w:val="32"/>
        </w:rPr>
      </w:pPr>
      <w:r>
        <w:rPr>
          <w:rFonts w:hint="eastAsia" w:ascii="仿宋" w:hAnsi="仿宋" w:eastAsia="仿宋" w:cs="仿宋"/>
          <w:b/>
          <w:bCs/>
          <w:sz w:val="32"/>
          <w:szCs w:val="32"/>
        </w:rPr>
        <w:t>改善县域消费供给。</w:t>
      </w:r>
      <w:r>
        <w:rPr>
          <w:rFonts w:hint="eastAsia" w:ascii="仿宋" w:hAnsi="仿宋" w:eastAsia="仿宋" w:cs="仿宋"/>
          <w:sz w:val="32"/>
          <w:szCs w:val="32"/>
        </w:rPr>
        <w:t>支持购物中心、大型商超、连锁经营企业等向县镇村下沉供应链，以连锁化、数字化、业务融合为手段，向乡镇和村庄延伸服务，拓展经营网点，丰富农村消费供给。鼓励“老字号”产品进农村，提升农村消费品质。建设特色农产品商品化处理设施。深化“数商兴农”，拓宽农产品上行渠道。优化健全新能源汽车下乡使用环境，支持新能源汽车充电桩建设进镇入村。</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2" w:firstLineChars="200"/>
        <w:textAlignment w:val="auto"/>
        <w:rPr>
          <w:rFonts w:hint="eastAsia" w:ascii="仿宋" w:hAnsi="仿宋" w:eastAsia="仿宋" w:cs="仿宋"/>
          <w:sz w:val="32"/>
          <w:szCs w:val="32"/>
        </w:rPr>
      </w:pPr>
      <w:r>
        <w:rPr>
          <w:rFonts w:hint="eastAsia" w:ascii="仿宋" w:hAnsi="仿宋" w:eastAsia="仿宋" w:cs="仿宋"/>
          <w:b/>
          <w:bCs/>
          <w:sz w:val="32"/>
          <w:szCs w:val="32"/>
        </w:rPr>
        <w:t>健全县域寄递物流服务体系。</w:t>
      </w:r>
      <w:r>
        <w:rPr>
          <w:rFonts w:hint="eastAsia" w:ascii="仿宋" w:hAnsi="仿宋" w:eastAsia="仿宋" w:cs="仿宋"/>
          <w:sz w:val="32"/>
          <w:szCs w:val="32"/>
        </w:rPr>
        <w:t>推动城乡物流服务均等化，完善县镇村三级寄递物流服务体系。支持在县城建设物流分拨集散中心、乡镇建设物流配送中心、行政村建设物流服务站点。鼓励寄递物流企业整合资源，发展共同配送，推动实现县至行政村一至三日通达。重点打造上联县下联村的镇级物流配送中心，持续推进快递进村工程。鼓励整合农村站点快递收发、电商、日用品销售等资源，优化县镇村双向配送服务，实现统仓共配、信息共享、数据互联。鼓励寄递物流企业承接快递包裹在县、行政村之间的中转、分拨、配送，通过共享作业场所和信息系统、让利处理费用、收取合理费用、奖励取送件至行政村等方式，提高村级物流站点可持续发展能力。</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napToGrid/>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Theme="majorEastAsia" w:hAnsiTheme="majorEastAsia" w:eastAsiaTheme="majorEastAsia" w:cstheme="majorEastAsia"/>
          <w:b/>
          <w:bCs/>
          <w:snapToGrid/>
          <w:kern w:val="2"/>
          <w:sz w:val="36"/>
          <w:szCs w:val="36"/>
          <w:lang w:eastAsia="zh-CN"/>
        </w:rPr>
      </w:pPr>
      <w:r>
        <w:rPr>
          <w:rFonts w:hint="eastAsia" w:asciiTheme="majorEastAsia" w:hAnsiTheme="majorEastAsia" w:eastAsiaTheme="majorEastAsia" w:cstheme="majorEastAsia"/>
          <w:b/>
          <w:bCs/>
          <w:snapToGrid/>
          <w:kern w:val="2"/>
          <w:sz w:val="36"/>
          <w:szCs w:val="36"/>
          <w:lang w:eastAsia="zh-CN"/>
        </w:rPr>
        <w:t>第三章</w:t>
      </w:r>
      <w:r>
        <w:rPr>
          <w:rFonts w:hint="eastAsia" w:asciiTheme="majorEastAsia" w:hAnsiTheme="majorEastAsia" w:eastAsiaTheme="majorEastAsia" w:cstheme="majorEastAsia"/>
          <w:b/>
          <w:bCs/>
          <w:snapToGrid/>
          <w:kern w:val="2"/>
          <w:sz w:val="36"/>
          <w:szCs w:val="36"/>
          <w:lang w:val="en-US" w:eastAsia="zh-CN"/>
        </w:rPr>
        <w:t xml:space="preserve">  </w:t>
      </w:r>
      <w:r>
        <w:rPr>
          <w:rFonts w:hint="eastAsia" w:asciiTheme="majorEastAsia" w:hAnsiTheme="majorEastAsia" w:eastAsiaTheme="majorEastAsia" w:cstheme="majorEastAsia"/>
          <w:b/>
          <w:bCs/>
          <w:snapToGrid/>
          <w:kern w:val="2"/>
          <w:sz w:val="36"/>
          <w:szCs w:val="36"/>
          <w:lang w:eastAsia="zh-CN"/>
        </w:rPr>
        <w:t>项目申报与资金分配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napToGrid/>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第六条</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b/>
          <w:bCs/>
          <w:snapToGrid/>
          <w:kern w:val="2"/>
          <w:sz w:val="32"/>
          <w:szCs w:val="32"/>
          <w:lang w:eastAsia="zh-CN"/>
        </w:rPr>
        <w:t>资金使用具体步骤和要求</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val="en-US" w:eastAsia="zh-CN"/>
        </w:rPr>
        <w:t>（一）建立项目库。</w:t>
      </w:r>
      <w:r>
        <w:rPr>
          <w:rFonts w:hint="eastAsia" w:ascii="仿宋_GB2312" w:hAnsi="仿宋_GB2312" w:eastAsia="仿宋_GB2312" w:cs="仿宋_GB2312"/>
          <w:snapToGrid/>
          <w:kern w:val="2"/>
          <w:sz w:val="32"/>
          <w:szCs w:val="32"/>
          <w:lang w:val="en-US" w:eastAsia="zh-CN"/>
        </w:rPr>
        <w:t>印发《关于组织连州市省级县域商业建设行动示范县建设项目入库申报通知》，</w:t>
      </w:r>
      <w:r>
        <w:rPr>
          <w:rFonts w:hint="eastAsia" w:ascii="仿宋_GB2312" w:hAnsi="仿宋_GB2312" w:eastAsia="仿宋_GB2312" w:cs="仿宋_GB2312"/>
          <w:snapToGrid/>
          <w:kern w:val="2"/>
          <w:sz w:val="32"/>
          <w:szCs w:val="32"/>
          <w:lang w:eastAsia="zh-CN"/>
        </w:rPr>
        <w:t>完善入库申报、项目清单、入库审核等文件材料。进一步完善项目库，建立项目动态调整机制。</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val="en-US" w:eastAsia="zh-CN"/>
        </w:rPr>
      </w:pPr>
      <w:r>
        <w:rPr>
          <w:rFonts w:hint="eastAsia" w:ascii="仿宋_GB2312" w:hAnsi="仿宋_GB2312" w:eastAsia="仿宋_GB2312" w:cs="仿宋_GB2312"/>
          <w:b/>
          <w:bCs/>
          <w:snapToGrid/>
          <w:kern w:val="2"/>
          <w:sz w:val="32"/>
          <w:szCs w:val="32"/>
          <w:lang w:eastAsia="zh-CN"/>
        </w:rPr>
        <w:t>（</w:t>
      </w:r>
      <w:r>
        <w:rPr>
          <w:rFonts w:hint="eastAsia" w:ascii="仿宋_GB2312" w:hAnsi="仿宋_GB2312" w:eastAsia="仿宋_GB2312" w:cs="仿宋_GB2312"/>
          <w:b/>
          <w:bCs/>
          <w:snapToGrid/>
          <w:kern w:val="2"/>
          <w:sz w:val="32"/>
          <w:szCs w:val="32"/>
          <w:lang w:val="en-US" w:eastAsia="zh-CN"/>
        </w:rPr>
        <w:t>二</w:t>
      </w:r>
      <w:r>
        <w:rPr>
          <w:rFonts w:hint="eastAsia" w:ascii="仿宋_GB2312" w:hAnsi="仿宋_GB2312" w:eastAsia="仿宋_GB2312" w:cs="仿宋_GB2312"/>
          <w:b/>
          <w:bCs/>
          <w:snapToGrid/>
          <w:kern w:val="2"/>
          <w:sz w:val="32"/>
          <w:szCs w:val="32"/>
          <w:lang w:eastAsia="zh-CN"/>
        </w:rPr>
        <w:t>）</w:t>
      </w:r>
      <w:r>
        <w:rPr>
          <w:rFonts w:hint="eastAsia" w:ascii="仿宋_GB2312" w:hAnsi="仿宋_GB2312" w:eastAsia="仿宋_GB2312" w:cs="仿宋_GB2312"/>
          <w:b/>
          <w:bCs/>
          <w:snapToGrid/>
          <w:kern w:val="2"/>
          <w:sz w:val="32"/>
          <w:szCs w:val="32"/>
          <w:lang w:val="en-US" w:eastAsia="zh-CN"/>
        </w:rPr>
        <w:t>跟踪项目进展。</w:t>
      </w:r>
      <w:r>
        <w:rPr>
          <w:rFonts w:hint="eastAsia" w:ascii="仿宋_GB2312" w:hAnsi="仿宋_GB2312" w:eastAsia="仿宋_GB2312" w:cs="仿宋_GB2312"/>
          <w:snapToGrid/>
          <w:kern w:val="2"/>
          <w:sz w:val="32"/>
          <w:szCs w:val="32"/>
          <w:lang w:val="en-US" w:eastAsia="zh-CN"/>
        </w:rPr>
        <w:t>各镇（乡）人民政府和连州市工业和信息化局做好各入库项目实施企业工作指导，协调推动解决项目开展中的问题，及时发现项目进程偏差，确保项目进度、资金使用等符合相关要求。</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w:t>
      </w:r>
      <w:r>
        <w:rPr>
          <w:rFonts w:hint="eastAsia" w:ascii="仿宋_GB2312" w:hAnsi="仿宋_GB2312" w:eastAsia="仿宋_GB2312" w:cs="仿宋_GB2312"/>
          <w:b/>
          <w:bCs/>
          <w:snapToGrid/>
          <w:kern w:val="2"/>
          <w:sz w:val="32"/>
          <w:szCs w:val="32"/>
          <w:lang w:val="en-US" w:eastAsia="zh-CN"/>
        </w:rPr>
        <w:t>三</w:t>
      </w:r>
      <w:r>
        <w:rPr>
          <w:rFonts w:hint="eastAsia" w:ascii="仿宋_GB2312" w:hAnsi="仿宋_GB2312" w:eastAsia="仿宋_GB2312" w:cs="仿宋_GB2312"/>
          <w:b/>
          <w:bCs/>
          <w:snapToGrid/>
          <w:kern w:val="2"/>
          <w:sz w:val="32"/>
          <w:szCs w:val="32"/>
          <w:lang w:eastAsia="zh-CN"/>
        </w:rPr>
        <w:t>）</w:t>
      </w:r>
      <w:r>
        <w:rPr>
          <w:rFonts w:hint="eastAsia" w:ascii="仿宋_GB2312" w:hAnsi="仿宋_GB2312" w:eastAsia="仿宋_GB2312" w:cs="仿宋_GB2312"/>
          <w:b/>
          <w:bCs/>
          <w:snapToGrid/>
          <w:kern w:val="2"/>
          <w:sz w:val="32"/>
          <w:szCs w:val="32"/>
          <w:lang w:val="en-US" w:eastAsia="zh-CN"/>
        </w:rPr>
        <w:t>资料提交。</w:t>
      </w:r>
      <w:r>
        <w:rPr>
          <w:rFonts w:hint="eastAsia" w:ascii="仿宋_GB2312" w:hAnsi="仿宋_GB2312" w:eastAsia="仿宋_GB2312" w:cs="仿宋_GB2312"/>
          <w:snapToGrid/>
          <w:kern w:val="2"/>
          <w:sz w:val="32"/>
          <w:szCs w:val="32"/>
          <w:lang w:eastAsia="zh-CN"/>
        </w:rPr>
        <w:t>入库单位应在2024年10月31日前提供项目验收材料，过期属于自动放弃享受奖补资金。如入库单位在2024年10月31日前不能完成验收材料的或由于其他原因决定放弃奖补资金的，应于2024年5月31日前告知</w:t>
      </w:r>
      <w:r>
        <w:rPr>
          <w:rFonts w:hint="eastAsia" w:ascii="仿宋_GB2312" w:hAnsi="仿宋_GB2312" w:eastAsia="仿宋_GB2312" w:cs="仿宋_GB2312"/>
          <w:snapToGrid/>
          <w:kern w:val="2"/>
          <w:sz w:val="32"/>
          <w:szCs w:val="32"/>
          <w:lang w:val="en-US" w:eastAsia="zh-CN"/>
        </w:rPr>
        <w:t>连州市工业和信息化局</w:t>
      </w:r>
      <w:r>
        <w:rPr>
          <w:rFonts w:hint="eastAsia" w:ascii="仿宋_GB2312" w:hAnsi="仿宋_GB2312" w:eastAsia="仿宋_GB2312" w:cs="仿宋_GB2312"/>
          <w:snapToGrid/>
          <w:kern w:val="2"/>
          <w:sz w:val="32"/>
          <w:szCs w:val="32"/>
          <w:lang w:eastAsia="zh-CN"/>
        </w:rPr>
        <w:t>，以便政府统筹再分配。具体投资金额以提交的会计师事务所对资金投入的审计报告和政府委托的审计单位审核金额为准。</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w:t>
      </w:r>
      <w:r>
        <w:rPr>
          <w:rFonts w:hint="eastAsia" w:ascii="仿宋_GB2312" w:hAnsi="仿宋_GB2312" w:eastAsia="仿宋_GB2312" w:cs="仿宋_GB2312"/>
          <w:b/>
          <w:bCs/>
          <w:snapToGrid/>
          <w:kern w:val="2"/>
          <w:sz w:val="32"/>
          <w:szCs w:val="32"/>
          <w:lang w:val="en-US" w:eastAsia="zh-CN"/>
        </w:rPr>
        <w:t>四</w:t>
      </w:r>
      <w:r>
        <w:rPr>
          <w:rFonts w:hint="eastAsia" w:ascii="仿宋_GB2312" w:hAnsi="仿宋_GB2312" w:eastAsia="仿宋_GB2312" w:cs="仿宋_GB2312"/>
          <w:b/>
          <w:bCs/>
          <w:snapToGrid/>
          <w:kern w:val="2"/>
          <w:sz w:val="32"/>
          <w:szCs w:val="32"/>
          <w:lang w:eastAsia="zh-CN"/>
        </w:rPr>
        <w:t>）</w:t>
      </w:r>
      <w:r>
        <w:rPr>
          <w:rFonts w:hint="eastAsia" w:ascii="仿宋_GB2312" w:hAnsi="仿宋_GB2312" w:eastAsia="仿宋_GB2312" w:cs="仿宋_GB2312"/>
          <w:b/>
          <w:bCs/>
          <w:snapToGrid/>
          <w:kern w:val="2"/>
          <w:sz w:val="32"/>
          <w:szCs w:val="32"/>
          <w:lang w:val="en-US" w:eastAsia="zh-CN"/>
        </w:rPr>
        <w:t>县级验收。</w:t>
      </w:r>
      <w:r>
        <w:rPr>
          <w:rFonts w:hint="eastAsia" w:ascii="仿宋_GB2312" w:hAnsi="仿宋_GB2312" w:eastAsia="仿宋_GB2312" w:cs="仿宋_GB2312"/>
          <w:snapToGrid/>
          <w:kern w:val="2"/>
          <w:sz w:val="32"/>
          <w:szCs w:val="32"/>
          <w:lang w:eastAsia="zh-CN"/>
        </w:rPr>
        <w:t>选定第三方机构对实施单位提交的验收申请材料进行验收审核。验收机构应在项目实施期内随时接受和处理验收申请。验收通过后向市级上报验收报告、项目验收材料、项目清单等复核材料。</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第七条</w:t>
      </w:r>
      <w:r>
        <w:rPr>
          <w:rFonts w:hint="eastAsia" w:ascii="仿宋_GB2312" w:hAnsi="仿宋_GB2312" w:eastAsia="仿宋_GB2312" w:cs="仿宋_GB2312"/>
          <w:snapToGrid/>
          <w:kern w:val="2"/>
          <w:sz w:val="32"/>
          <w:szCs w:val="32"/>
          <w:lang w:val="en-US" w:eastAsia="zh-CN"/>
        </w:rPr>
        <w:t xml:space="preserve">  各入库项目实施企业、各镇（乡）和涉及有上级奖补资金单位</w:t>
      </w:r>
      <w:r>
        <w:rPr>
          <w:rFonts w:hint="eastAsia" w:ascii="仿宋_GB2312" w:hAnsi="仿宋_GB2312" w:eastAsia="仿宋_GB2312" w:cs="仿宋_GB2312"/>
          <w:snapToGrid/>
          <w:kern w:val="2"/>
          <w:sz w:val="32"/>
          <w:szCs w:val="32"/>
          <w:lang w:eastAsia="zh-CN"/>
        </w:rPr>
        <w:t>要严格、认真审核项目材料，确保</w:t>
      </w:r>
      <w:r>
        <w:rPr>
          <w:rFonts w:hint="eastAsia" w:ascii="仿宋_GB2312" w:hAnsi="仿宋_GB2312" w:eastAsia="仿宋_GB2312" w:cs="仿宋_GB2312"/>
          <w:snapToGrid/>
          <w:kern w:val="2"/>
          <w:sz w:val="32"/>
          <w:szCs w:val="32"/>
          <w:lang w:val="en-US" w:eastAsia="zh-CN"/>
        </w:rPr>
        <w:t>无重复享受其他国家资金和专项债支持，并且</w:t>
      </w:r>
      <w:r>
        <w:rPr>
          <w:rFonts w:hint="eastAsia" w:ascii="仿宋_GB2312" w:hAnsi="仿宋_GB2312" w:eastAsia="仿宋_GB2312" w:cs="仿宋_GB2312"/>
          <w:snapToGrid/>
          <w:kern w:val="2"/>
          <w:sz w:val="32"/>
          <w:szCs w:val="32"/>
          <w:lang w:eastAsia="zh-CN"/>
        </w:rPr>
        <w:t>支出合规、票据规范、不出纰漏，经得起检查。</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napToGrid/>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720" w:firstLineChars="200"/>
        <w:jc w:val="center"/>
        <w:textAlignment w:val="auto"/>
        <w:rPr>
          <w:rFonts w:hint="eastAsia" w:asciiTheme="majorEastAsia" w:hAnsiTheme="majorEastAsia" w:eastAsiaTheme="majorEastAsia" w:cstheme="majorEastAsia"/>
          <w:b/>
          <w:bCs/>
          <w:snapToGrid/>
          <w:kern w:val="2"/>
          <w:sz w:val="36"/>
          <w:szCs w:val="36"/>
          <w:lang w:eastAsia="zh-CN"/>
        </w:rPr>
      </w:pPr>
      <w:r>
        <w:rPr>
          <w:rFonts w:hint="eastAsia" w:asciiTheme="majorEastAsia" w:hAnsiTheme="majorEastAsia" w:eastAsiaTheme="majorEastAsia" w:cstheme="majorEastAsia"/>
          <w:b/>
          <w:bCs/>
          <w:snapToGrid/>
          <w:kern w:val="2"/>
          <w:sz w:val="36"/>
          <w:szCs w:val="36"/>
          <w:lang w:eastAsia="zh-CN"/>
        </w:rPr>
        <w:t>第四章</w:t>
      </w:r>
      <w:r>
        <w:rPr>
          <w:rFonts w:hint="eastAsia" w:asciiTheme="majorEastAsia" w:hAnsiTheme="majorEastAsia" w:eastAsiaTheme="majorEastAsia" w:cstheme="majorEastAsia"/>
          <w:b/>
          <w:bCs/>
          <w:snapToGrid/>
          <w:kern w:val="2"/>
          <w:sz w:val="36"/>
          <w:szCs w:val="36"/>
          <w:lang w:val="en-US" w:eastAsia="zh-CN"/>
        </w:rPr>
        <w:t xml:space="preserve">  </w:t>
      </w:r>
      <w:r>
        <w:rPr>
          <w:rFonts w:hint="eastAsia" w:asciiTheme="majorEastAsia" w:hAnsiTheme="majorEastAsia" w:eastAsiaTheme="majorEastAsia" w:cstheme="majorEastAsia"/>
          <w:b/>
          <w:bCs/>
          <w:snapToGrid/>
          <w:kern w:val="2"/>
          <w:sz w:val="36"/>
          <w:szCs w:val="36"/>
          <w:lang w:eastAsia="zh-CN"/>
        </w:rPr>
        <w:t>项目和资金管理</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napToGrid/>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第八条</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项目入库。印发《关于组织连州市省级县域商业建设行动示范县建设项目入库申报通知》，</w:t>
      </w:r>
      <w:r>
        <w:rPr>
          <w:rFonts w:hint="eastAsia" w:ascii="仿宋_GB2312" w:hAnsi="仿宋_GB2312" w:eastAsia="仿宋_GB2312" w:cs="仿宋_GB2312"/>
          <w:snapToGrid/>
          <w:kern w:val="2"/>
          <w:sz w:val="32"/>
          <w:szCs w:val="32"/>
          <w:lang w:val="en-US" w:eastAsia="zh-CN"/>
        </w:rPr>
        <w:t>及时向社会和相关企业、各镇（乡）人民政府、市直有关单位收集</w:t>
      </w:r>
      <w:r>
        <w:rPr>
          <w:rFonts w:hint="eastAsia" w:ascii="仿宋_GB2312" w:hAnsi="仿宋_GB2312" w:eastAsia="仿宋_GB2312" w:cs="仿宋_GB2312"/>
          <w:snapToGrid/>
          <w:kern w:val="2"/>
          <w:sz w:val="32"/>
          <w:szCs w:val="32"/>
          <w:lang w:eastAsia="zh-CN"/>
        </w:rPr>
        <w:t>项目入库申报材料，</w:t>
      </w:r>
      <w:r>
        <w:rPr>
          <w:rFonts w:hint="eastAsia" w:ascii="仿宋_GB2312" w:hAnsi="仿宋_GB2312" w:eastAsia="仿宋_GB2312" w:cs="仿宋_GB2312"/>
          <w:snapToGrid/>
          <w:kern w:val="2"/>
          <w:sz w:val="32"/>
          <w:szCs w:val="32"/>
          <w:lang w:val="en-US" w:eastAsia="zh-CN"/>
        </w:rPr>
        <w:t>初选入库项目</w:t>
      </w:r>
      <w:r>
        <w:rPr>
          <w:rFonts w:hint="eastAsia" w:ascii="仿宋_GB2312" w:hAnsi="仿宋_GB2312" w:eastAsia="仿宋_GB2312" w:cs="仿宋_GB2312"/>
          <w:snapToGrid/>
          <w:kern w:val="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default" w:ascii="仿宋_GB2312" w:hAnsi="仿宋_GB2312" w:eastAsia="仿宋_GB2312" w:cs="仿宋_GB2312"/>
          <w:snapToGrid/>
          <w:kern w:val="2"/>
          <w:sz w:val="32"/>
          <w:szCs w:val="32"/>
          <w:lang w:val="en-US" w:eastAsia="zh-CN"/>
        </w:rPr>
      </w:pPr>
      <w:r>
        <w:rPr>
          <w:rFonts w:hint="eastAsia" w:ascii="仿宋_GB2312" w:hAnsi="仿宋_GB2312" w:eastAsia="仿宋_GB2312" w:cs="仿宋_GB2312"/>
          <w:b/>
          <w:bCs/>
          <w:snapToGrid/>
          <w:kern w:val="2"/>
          <w:sz w:val="32"/>
          <w:szCs w:val="32"/>
          <w:lang w:eastAsia="zh-CN"/>
        </w:rPr>
        <w:t>第九条</w:t>
      </w:r>
      <w:r>
        <w:rPr>
          <w:rFonts w:hint="eastAsia" w:ascii="仿宋_GB2312" w:hAnsi="仿宋_GB2312" w:eastAsia="仿宋_GB2312" w:cs="仿宋_GB2312"/>
          <w:b/>
          <w:bCs/>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入库审核。</w:t>
      </w:r>
      <w:r>
        <w:rPr>
          <w:rFonts w:hint="eastAsia" w:ascii="仿宋_GB2312" w:hAnsi="仿宋_GB2312" w:eastAsia="仿宋_GB2312" w:cs="仿宋_GB2312"/>
          <w:snapToGrid/>
          <w:kern w:val="2"/>
          <w:sz w:val="32"/>
          <w:szCs w:val="32"/>
          <w:lang w:val="en-US" w:eastAsia="zh-CN"/>
        </w:rPr>
        <w:t>由领导小组成员单位</w:t>
      </w:r>
      <w:r>
        <w:rPr>
          <w:rFonts w:hint="eastAsia" w:ascii="仿宋_GB2312" w:hAnsi="仿宋_GB2312" w:eastAsia="仿宋_GB2312" w:cs="仿宋_GB2312"/>
          <w:snapToGrid/>
          <w:kern w:val="2"/>
          <w:sz w:val="32"/>
          <w:szCs w:val="32"/>
          <w:lang w:eastAsia="zh-CN"/>
        </w:rPr>
        <w:t>对申报项目进行入库审核，确保符合工作意图、支持方向和资金使用管理要求，</w:t>
      </w:r>
      <w:r>
        <w:rPr>
          <w:rFonts w:hint="eastAsia" w:ascii="仿宋_GB2312" w:hAnsi="仿宋_GB2312" w:eastAsia="仿宋_GB2312" w:cs="仿宋_GB2312"/>
          <w:snapToGrid/>
          <w:kern w:val="2"/>
          <w:sz w:val="32"/>
          <w:szCs w:val="32"/>
          <w:lang w:val="en-US" w:eastAsia="zh-CN"/>
        </w:rPr>
        <w:t>并报请连州市政府选定审议</w:t>
      </w:r>
      <w:r>
        <w:rPr>
          <w:rFonts w:hint="eastAsia" w:ascii="仿宋_GB2312" w:hAnsi="仿宋_GB2312" w:eastAsia="仿宋_GB2312" w:cs="仿宋_GB2312"/>
          <w:snapToGrid/>
          <w:kern w:val="2"/>
          <w:sz w:val="32"/>
          <w:szCs w:val="32"/>
          <w:lang w:eastAsia="zh-CN"/>
        </w:rPr>
        <w:t>。</w:t>
      </w:r>
      <w:r>
        <w:rPr>
          <w:rFonts w:hint="eastAsia" w:ascii="仿宋_GB2312" w:hAnsi="仿宋_GB2312" w:eastAsia="仿宋_GB2312" w:cs="仿宋_GB2312"/>
          <w:snapToGrid/>
          <w:kern w:val="2"/>
          <w:sz w:val="32"/>
          <w:szCs w:val="32"/>
          <w:lang w:val="en-US" w:eastAsia="zh-CN"/>
        </w:rPr>
        <w:t>同时报备给清远市商务局。</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第十条</w:t>
      </w:r>
      <w:r>
        <w:rPr>
          <w:rFonts w:hint="eastAsia" w:ascii="仿宋_GB2312" w:hAnsi="仿宋_GB2312" w:eastAsia="仿宋_GB2312" w:cs="仿宋_GB2312"/>
          <w:b/>
          <w:bCs/>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对入库项目进行现场核查。核实项目真实性，评估实施现场是否与入库申报材料一致。现场核查</w:t>
      </w:r>
      <w:r>
        <w:rPr>
          <w:rFonts w:hint="eastAsia" w:ascii="仿宋_GB2312" w:hAnsi="仿宋_GB2312" w:eastAsia="仿宋_GB2312" w:cs="仿宋_GB2312"/>
          <w:snapToGrid/>
          <w:kern w:val="2"/>
          <w:sz w:val="32"/>
          <w:szCs w:val="32"/>
          <w:lang w:val="en-US" w:eastAsia="zh-CN"/>
        </w:rPr>
        <w:t>由属地镇（乡）人民政府</w:t>
      </w:r>
      <w:r>
        <w:rPr>
          <w:rFonts w:hint="eastAsia" w:ascii="仿宋_GB2312" w:hAnsi="仿宋_GB2312" w:eastAsia="仿宋_GB2312" w:cs="仿宋_GB2312"/>
          <w:snapToGrid/>
          <w:kern w:val="2"/>
          <w:sz w:val="32"/>
          <w:szCs w:val="32"/>
          <w:lang w:eastAsia="zh-CN"/>
        </w:rPr>
        <w:t>开展。</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第十一条</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验收。建立项目验收机制，</w:t>
      </w:r>
      <w:r>
        <w:rPr>
          <w:rFonts w:hint="eastAsia" w:ascii="仿宋_GB2312" w:hAnsi="仿宋_GB2312" w:eastAsia="仿宋_GB2312" w:cs="仿宋_GB2312"/>
          <w:snapToGrid/>
          <w:kern w:val="2"/>
          <w:sz w:val="32"/>
          <w:szCs w:val="32"/>
          <w:lang w:val="en-US" w:eastAsia="zh-CN"/>
        </w:rPr>
        <w:t>由</w:t>
      </w:r>
      <w:r>
        <w:rPr>
          <w:rFonts w:hint="eastAsia" w:ascii="仿宋_GB2312" w:hAnsi="仿宋_GB2312" w:eastAsia="仿宋_GB2312" w:cs="仿宋_GB2312"/>
          <w:snapToGrid/>
          <w:kern w:val="2"/>
          <w:sz w:val="32"/>
          <w:szCs w:val="32"/>
          <w:lang w:eastAsia="zh-CN"/>
        </w:rPr>
        <w:t>选定第三方（会计事务所）</w:t>
      </w:r>
      <w:r>
        <w:rPr>
          <w:rFonts w:hint="eastAsia" w:ascii="仿宋_GB2312" w:hAnsi="仿宋_GB2312" w:eastAsia="仿宋_GB2312" w:cs="仿宋_GB2312"/>
          <w:snapToGrid/>
          <w:kern w:val="2"/>
          <w:sz w:val="32"/>
          <w:szCs w:val="32"/>
          <w:lang w:val="en-US" w:eastAsia="zh-CN"/>
        </w:rPr>
        <w:t>作为</w:t>
      </w:r>
      <w:r>
        <w:rPr>
          <w:rFonts w:hint="eastAsia" w:ascii="仿宋_GB2312" w:hAnsi="仿宋_GB2312" w:eastAsia="仿宋_GB2312" w:cs="仿宋_GB2312"/>
          <w:snapToGrid/>
          <w:kern w:val="2"/>
          <w:sz w:val="32"/>
          <w:szCs w:val="32"/>
          <w:lang w:eastAsia="zh-CN"/>
        </w:rPr>
        <w:t>日常验收机构，在实施项目完成后可随时、不定期地接受实施单位的验收申请（</w:t>
      </w:r>
      <w:r>
        <w:rPr>
          <w:rFonts w:hint="eastAsia" w:ascii="仿宋_GB2312" w:hAnsi="仿宋_GB2312" w:eastAsia="仿宋_GB2312" w:cs="仿宋_GB2312"/>
          <w:snapToGrid/>
          <w:kern w:val="2"/>
          <w:sz w:val="32"/>
          <w:szCs w:val="32"/>
          <w:lang w:val="en-US" w:eastAsia="zh-CN"/>
        </w:rPr>
        <w:t>含</w:t>
      </w:r>
      <w:r>
        <w:rPr>
          <w:rFonts w:hint="eastAsia" w:ascii="仿宋_GB2312" w:hAnsi="仿宋_GB2312" w:eastAsia="仿宋_GB2312" w:cs="仿宋_GB2312"/>
          <w:snapToGrid/>
          <w:kern w:val="2"/>
          <w:sz w:val="32"/>
          <w:szCs w:val="32"/>
          <w:lang w:eastAsia="zh-CN"/>
        </w:rPr>
        <w:t>实施单位在验收时提交会计师事务所对资金投入的审计报告），</w:t>
      </w:r>
      <w:r>
        <w:rPr>
          <w:rFonts w:hint="eastAsia" w:ascii="仿宋_GB2312" w:hAnsi="仿宋_GB2312" w:eastAsia="仿宋_GB2312" w:cs="仿宋_GB2312"/>
          <w:snapToGrid/>
          <w:kern w:val="2"/>
          <w:sz w:val="32"/>
          <w:szCs w:val="32"/>
          <w:lang w:val="en-US" w:eastAsia="zh-CN"/>
        </w:rPr>
        <w:t>连州市工业和信息化局要监督好日常验收机构的工作落实情况，</w:t>
      </w:r>
      <w:r>
        <w:rPr>
          <w:rFonts w:hint="eastAsia" w:ascii="仿宋_GB2312" w:hAnsi="仿宋_GB2312" w:eastAsia="仿宋_GB2312" w:cs="仿宋_GB2312"/>
          <w:snapToGrid/>
          <w:kern w:val="2"/>
          <w:sz w:val="32"/>
          <w:szCs w:val="32"/>
          <w:lang w:eastAsia="zh-CN"/>
        </w:rPr>
        <w:t>以提高工作效率，加快资金拨付流程。</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default"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eastAsia="zh-CN"/>
        </w:rPr>
        <w:t>第十</w:t>
      </w:r>
      <w:r>
        <w:rPr>
          <w:rFonts w:hint="eastAsia" w:ascii="仿宋_GB2312" w:hAnsi="仿宋_GB2312" w:eastAsia="仿宋_GB2312" w:cs="仿宋_GB2312"/>
          <w:b/>
          <w:bCs/>
          <w:snapToGrid/>
          <w:kern w:val="2"/>
          <w:sz w:val="32"/>
          <w:szCs w:val="32"/>
          <w:lang w:val="en-US" w:eastAsia="zh-CN"/>
        </w:rPr>
        <w:t>二</w:t>
      </w:r>
      <w:r>
        <w:rPr>
          <w:rFonts w:hint="eastAsia" w:ascii="仿宋_GB2312" w:hAnsi="仿宋_GB2312" w:eastAsia="仿宋_GB2312" w:cs="仿宋_GB2312"/>
          <w:b/>
          <w:bCs/>
          <w:snapToGrid/>
          <w:kern w:val="2"/>
          <w:sz w:val="32"/>
          <w:szCs w:val="32"/>
          <w:lang w:eastAsia="zh-CN"/>
        </w:rPr>
        <w:t>条</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项目的调整和取消。新增项目的，应完善相关项目入库程序。在各类检查中认为不符合支持方向的，或实施内容确有必要进行调整的，可予调整或取消。</w:t>
      </w:r>
      <w:r>
        <w:rPr>
          <w:rFonts w:hint="eastAsia" w:ascii="仿宋_GB2312" w:hAnsi="仿宋_GB2312" w:eastAsia="仿宋_GB2312" w:cs="仿宋_GB2312"/>
          <w:snapToGrid/>
          <w:kern w:val="2"/>
          <w:sz w:val="32"/>
          <w:szCs w:val="32"/>
          <w:lang w:val="en-US" w:eastAsia="zh-CN"/>
        </w:rPr>
        <w:t>所有</w:t>
      </w:r>
      <w:r>
        <w:rPr>
          <w:rFonts w:hint="eastAsia" w:ascii="仿宋_GB2312" w:hAnsi="仿宋_GB2312" w:eastAsia="仿宋_GB2312" w:cs="仿宋_GB2312"/>
          <w:snapToGrid/>
          <w:kern w:val="2"/>
          <w:sz w:val="32"/>
          <w:szCs w:val="32"/>
          <w:lang w:eastAsia="zh-CN"/>
        </w:rPr>
        <w:t>调整或取消</w:t>
      </w:r>
      <w:r>
        <w:rPr>
          <w:rFonts w:hint="eastAsia" w:ascii="仿宋_GB2312" w:hAnsi="仿宋_GB2312" w:eastAsia="仿宋_GB2312" w:cs="仿宋_GB2312"/>
          <w:snapToGrid/>
          <w:kern w:val="2"/>
          <w:sz w:val="32"/>
          <w:szCs w:val="32"/>
          <w:lang w:val="en-US" w:eastAsia="zh-CN"/>
        </w:rPr>
        <w:t>的项目，原安排奖补资金以及</w:t>
      </w:r>
      <w:r>
        <w:rPr>
          <w:rFonts w:hint="eastAsia" w:ascii="仿宋_GB2312" w:hAnsi="仿宋_GB2312" w:eastAsia="仿宋_GB2312" w:cs="仿宋_GB2312"/>
          <w:snapToGrid/>
          <w:kern w:val="2"/>
          <w:sz w:val="32"/>
          <w:szCs w:val="32"/>
          <w:lang w:eastAsia="zh-CN"/>
        </w:rPr>
        <w:t>第三方（会计事务所）</w:t>
      </w:r>
      <w:r>
        <w:rPr>
          <w:rFonts w:hint="eastAsia" w:ascii="仿宋_GB2312" w:hAnsi="仿宋_GB2312" w:eastAsia="仿宋_GB2312" w:cs="仿宋_GB2312"/>
          <w:snapToGrid/>
          <w:kern w:val="2"/>
          <w:sz w:val="32"/>
          <w:szCs w:val="32"/>
          <w:lang w:val="en-US" w:eastAsia="zh-CN"/>
        </w:rPr>
        <w:t>审计报告剔除的奖补资金由领导小组统一统筹重新安排给符合条件项目或奖补给项目进展完成最快的前三名</w:t>
      </w:r>
      <w:r>
        <w:rPr>
          <w:rFonts w:hint="eastAsia" w:ascii="仿宋_GB2312" w:hAnsi="仿宋_GB2312" w:eastAsia="仿宋_GB2312" w:cs="仿宋_GB2312"/>
          <w:b w:val="0"/>
          <w:bCs w:val="0"/>
          <w:snapToGrid/>
          <w:kern w:val="2"/>
          <w:sz w:val="32"/>
          <w:szCs w:val="32"/>
          <w:lang w:val="en-US" w:eastAsia="zh-CN"/>
        </w:rPr>
        <w:t>（</w:t>
      </w:r>
      <w:r>
        <w:rPr>
          <w:rFonts w:hint="eastAsia" w:ascii="仿宋_GB2312" w:hAnsi="仿宋_GB2312" w:eastAsia="仿宋_GB2312" w:cs="仿宋_GB2312"/>
          <w:b w:val="0"/>
          <w:bCs w:val="0"/>
          <w:sz w:val="32"/>
          <w:szCs w:val="32"/>
        </w:rPr>
        <w:t>单个项目最高不能超总投资金额40%且不能超过</w:t>
      </w:r>
      <w:r>
        <w:rPr>
          <w:rFonts w:hint="eastAsia" w:ascii="仿宋_GB2312" w:hAnsi="仿宋_GB2312" w:eastAsia="仿宋_GB2312" w:cs="仿宋_GB2312"/>
          <w:b w:val="0"/>
          <w:bCs w:val="0"/>
          <w:sz w:val="32"/>
          <w:szCs w:val="32"/>
          <w:lang w:val="en-US" w:eastAsia="zh-CN"/>
        </w:rPr>
        <w:t>最高奖补金额</w:t>
      </w:r>
      <w:r>
        <w:rPr>
          <w:rFonts w:hint="eastAsia" w:ascii="仿宋_GB2312" w:hAnsi="仿宋_GB2312" w:eastAsia="仿宋_GB2312" w:cs="仿宋_GB2312"/>
          <w:b w:val="0"/>
          <w:bCs w:val="0"/>
          <w:sz w:val="32"/>
          <w:szCs w:val="32"/>
        </w:rPr>
        <w:t>200万元</w:t>
      </w:r>
      <w:r>
        <w:rPr>
          <w:rFonts w:hint="eastAsia" w:ascii="仿宋_GB2312" w:hAnsi="仿宋_GB2312" w:eastAsia="仿宋_GB2312" w:cs="仿宋_GB2312"/>
          <w:b w:val="0"/>
          <w:bCs w:val="0"/>
          <w:snapToGrid/>
          <w:kern w:val="2"/>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第十</w:t>
      </w:r>
      <w:r>
        <w:rPr>
          <w:rFonts w:hint="eastAsia" w:ascii="仿宋_GB2312" w:hAnsi="仿宋_GB2312" w:eastAsia="仿宋_GB2312" w:cs="仿宋_GB2312"/>
          <w:b/>
          <w:bCs/>
          <w:snapToGrid/>
          <w:kern w:val="2"/>
          <w:sz w:val="32"/>
          <w:szCs w:val="32"/>
          <w:lang w:val="en-US" w:eastAsia="zh-CN"/>
        </w:rPr>
        <w:t>三</w:t>
      </w:r>
      <w:r>
        <w:rPr>
          <w:rFonts w:hint="eastAsia" w:ascii="仿宋_GB2312" w:hAnsi="仿宋_GB2312" w:eastAsia="仿宋_GB2312" w:cs="仿宋_GB2312"/>
          <w:b/>
          <w:bCs/>
          <w:snapToGrid/>
          <w:kern w:val="2"/>
          <w:sz w:val="32"/>
          <w:szCs w:val="32"/>
          <w:lang w:eastAsia="zh-CN"/>
        </w:rPr>
        <w:t>条</w:t>
      </w:r>
      <w:r>
        <w:rPr>
          <w:rFonts w:hint="eastAsia" w:ascii="仿宋_GB2312" w:hAnsi="仿宋_GB2312" w:eastAsia="仿宋_GB2312" w:cs="仿宋_GB2312"/>
          <w:b/>
          <w:bCs/>
          <w:snapToGrid/>
          <w:kern w:val="2"/>
          <w:sz w:val="32"/>
          <w:szCs w:val="32"/>
          <w:lang w:val="en-US" w:eastAsia="zh-CN"/>
        </w:rPr>
        <w:t xml:space="preserve"> </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专项资金的支持范围。不支持征地拆迁、罚款、捐款、赞助、投资、偿还债务、发工资、提取工作经费。相关明显与乡村建设工作意图无关的支出，不应使用财政资金进行冲抵。</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第十</w:t>
      </w:r>
      <w:r>
        <w:rPr>
          <w:rFonts w:hint="eastAsia" w:ascii="仿宋_GB2312" w:hAnsi="仿宋_GB2312" w:eastAsia="仿宋_GB2312" w:cs="仿宋_GB2312"/>
          <w:b/>
          <w:bCs/>
          <w:snapToGrid/>
          <w:kern w:val="2"/>
          <w:sz w:val="32"/>
          <w:szCs w:val="32"/>
          <w:lang w:val="en-US" w:eastAsia="zh-CN"/>
        </w:rPr>
        <w:t>四</w:t>
      </w:r>
      <w:r>
        <w:rPr>
          <w:rFonts w:hint="eastAsia" w:ascii="仿宋_GB2312" w:hAnsi="仿宋_GB2312" w:eastAsia="仿宋_GB2312" w:cs="仿宋_GB2312"/>
          <w:b/>
          <w:bCs/>
          <w:snapToGrid/>
          <w:kern w:val="2"/>
          <w:sz w:val="32"/>
          <w:szCs w:val="32"/>
          <w:lang w:eastAsia="zh-CN"/>
        </w:rPr>
        <w:t>条</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支持比例和金额。不超过符合支持范围支出的40%。单个项目不超过项目申请支持金额。支持金额不超过200万元。</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snapToGrid/>
          <w:kern w:val="2"/>
          <w:sz w:val="32"/>
          <w:szCs w:val="32"/>
          <w:lang w:eastAsia="zh-CN"/>
        </w:rPr>
        <w:t>全市所有入库项目按照项目性质和社会需求，经连州市政府审定后，科学调剂。符合支持范围的相同性质入库项目按照统一比例进行奖补（详见入库清单表）。</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hAnsi="仿宋_GB2312" w:eastAsia="仿宋_GB2312" w:cs="仿宋_GB2312"/>
          <w:snapToGrid/>
          <w:kern w:val="2"/>
          <w:sz w:val="32"/>
          <w:szCs w:val="32"/>
          <w:lang w:val="en-US" w:eastAsia="zh"/>
        </w:rPr>
      </w:pPr>
      <w:r>
        <w:rPr>
          <w:rFonts w:hint="eastAsia" w:ascii="仿宋_GB2312" w:hAnsi="仿宋_GB2312" w:eastAsia="仿宋_GB2312" w:cs="仿宋_GB2312"/>
          <w:snapToGrid/>
          <w:kern w:val="2"/>
          <w:sz w:val="32"/>
          <w:szCs w:val="32"/>
          <w:lang w:eastAsia="zh-CN"/>
        </w:rPr>
        <w:t>本次总奖补金额为1000万元，资金来源为上级专项资金，入库清单表未分配余额及回收资金的总额，由连州市政府统筹分配。市政府不另行分配的，且入库清单表未分配余额及回收资金的总额超过10万元，将由</w:t>
      </w:r>
      <w:r>
        <w:rPr>
          <w:rFonts w:hint="eastAsia" w:ascii="仿宋_GB2312" w:hAnsi="仿宋_GB2312" w:eastAsia="仿宋_GB2312" w:cs="仿宋_GB2312"/>
          <w:snapToGrid/>
          <w:kern w:val="2"/>
          <w:sz w:val="32"/>
          <w:szCs w:val="32"/>
          <w:lang w:val="en-US" w:eastAsia="zh-CN"/>
        </w:rPr>
        <w:t>领导小组在不违反上级规定情况下，</w:t>
      </w:r>
      <w:r>
        <w:rPr>
          <w:rFonts w:hint="eastAsia" w:ascii="仿宋_GB2312" w:hAnsi="仿宋_GB2312" w:eastAsia="仿宋_GB2312" w:cs="仿宋_GB2312"/>
          <w:snapToGrid/>
          <w:kern w:val="2"/>
          <w:sz w:val="32"/>
          <w:szCs w:val="32"/>
          <w:lang w:eastAsia="zh-CN"/>
        </w:rPr>
        <w:t>适当提高各项目的奖补比例，再次调整后，剩余不足10万元部分，采取奖励优先的方式，对项目进展最快的三个项目进行奖补。</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第十</w:t>
      </w:r>
      <w:r>
        <w:rPr>
          <w:rFonts w:hint="eastAsia" w:ascii="仿宋_GB2312" w:hAnsi="仿宋_GB2312" w:eastAsia="仿宋_GB2312" w:cs="仿宋_GB2312"/>
          <w:b/>
          <w:bCs/>
          <w:snapToGrid/>
          <w:kern w:val="2"/>
          <w:sz w:val="32"/>
          <w:szCs w:val="32"/>
          <w:lang w:val="en-US" w:eastAsia="zh-CN"/>
        </w:rPr>
        <w:t>五</w:t>
      </w:r>
      <w:r>
        <w:rPr>
          <w:rFonts w:hint="eastAsia" w:ascii="仿宋_GB2312" w:hAnsi="仿宋_GB2312" w:eastAsia="仿宋_GB2312" w:cs="仿宋_GB2312"/>
          <w:b/>
          <w:bCs/>
          <w:snapToGrid/>
          <w:kern w:val="2"/>
          <w:sz w:val="32"/>
          <w:szCs w:val="32"/>
          <w:lang w:eastAsia="zh-CN"/>
        </w:rPr>
        <w:t>条</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资金的回收。对已落实支持资金的项目单位，后续检查发现问题的，予以追回。在本级项目主管部门作出回收资金的决定后，应督促项目单位及时完成回收。对拒不清退财政资金的，依法采取行政强制手段追缴，同时落实联合惩戒机制。在支持期限内未能使用完全部财政资金额度的收回剩余额度，</w:t>
      </w:r>
      <w:r>
        <w:rPr>
          <w:rFonts w:hint="eastAsia" w:ascii="仿宋_GB2312" w:hAnsi="仿宋_GB2312" w:eastAsia="仿宋_GB2312" w:cs="仿宋_GB2312"/>
          <w:snapToGrid/>
          <w:kern w:val="2"/>
          <w:sz w:val="32"/>
          <w:szCs w:val="32"/>
          <w:lang w:val="en-US" w:eastAsia="zh-CN"/>
        </w:rPr>
        <w:t>由省商务厅</w:t>
      </w:r>
      <w:r>
        <w:rPr>
          <w:rFonts w:hint="eastAsia" w:ascii="仿宋_GB2312" w:hAnsi="仿宋_GB2312" w:eastAsia="仿宋_GB2312" w:cs="仿宋_GB2312"/>
          <w:snapToGrid/>
          <w:kern w:val="2"/>
          <w:sz w:val="32"/>
          <w:szCs w:val="32"/>
          <w:lang w:eastAsia="zh-CN"/>
        </w:rPr>
        <w:t>调剂安排。</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val="en-US" w:eastAsia="zh-CN"/>
        </w:rPr>
        <w:t xml:space="preserve">第十六条 </w:t>
      </w:r>
      <w:r>
        <w:rPr>
          <w:rFonts w:hint="eastAsia" w:ascii="仿宋_GB2312" w:hAnsi="仿宋_GB2312" w:eastAsia="仿宋_GB2312" w:cs="仿宋_GB2312"/>
          <w:snapToGrid/>
          <w:kern w:val="2"/>
          <w:sz w:val="32"/>
          <w:szCs w:val="32"/>
          <w:lang w:val="en-US" w:eastAsia="zh-CN"/>
        </w:rPr>
        <w:t xml:space="preserve"> 其他要求。</w:t>
      </w:r>
      <w:r>
        <w:rPr>
          <w:rFonts w:hint="eastAsia" w:ascii="仿宋_GB2312" w:hAnsi="仿宋_GB2312" w:eastAsia="仿宋_GB2312" w:cs="仿宋_GB2312"/>
          <w:snapToGrid/>
          <w:kern w:val="2"/>
          <w:sz w:val="32"/>
          <w:szCs w:val="32"/>
          <w:lang w:eastAsia="zh-CN"/>
        </w:rPr>
        <w:t>根据清远市安全生产治本攻坚三年行动有关工作要求，要将安全生产要求融入产业发展政策：2024年起，按照省商务厅的统一部署，在我市县域商业体系建设、促消费等相关工作中，将“提升安全生产水平”作为高质量发展的重要内容。按照省商务厅的统一部署，在开展省有关资金申报工作时对申报期内因监管不力导致发生特别重大、重大、较大生产安全事故，或因安全生产重大隐患被挂牌通报未整改完毕的，“一票否决”取消其申报评选资格。</w:t>
      </w:r>
    </w:p>
    <w:p>
      <w:pPr>
        <w:pStyle w:val="2"/>
        <w:rPr>
          <w:rFonts w:hint="eastAsia"/>
          <w:lang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720" w:firstLineChars="200"/>
        <w:jc w:val="center"/>
        <w:textAlignment w:val="auto"/>
        <w:rPr>
          <w:rFonts w:hint="eastAsia" w:asciiTheme="majorEastAsia" w:hAnsiTheme="majorEastAsia" w:eastAsiaTheme="majorEastAsia" w:cstheme="majorEastAsia"/>
          <w:b/>
          <w:bCs/>
          <w:snapToGrid/>
          <w:kern w:val="2"/>
          <w:sz w:val="36"/>
          <w:szCs w:val="36"/>
          <w:lang w:val="en-US" w:eastAsia="zh-CN"/>
        </w:rPr>
      </w:pPr>
      <w:r>
        <w:rPr>
          <w:rFonts w:hint="eastAsia" w:asciiTheme="majorEastAsia" w:hAnsiTheme="majorEastAsia" w:eastAsiaTheme="majorEastAsia" w:cstheme="majorEastAsia"/>
          <w:b/>
          <w:bCs/>
          <w:snapToGrid/>
          <w:kern w:val="2"/>
          <w:sz w:val="36"/>
          <w:szCs w:val="36"/>
          <w:lang w:val="en-US" w:eastAsia="zh-CN"/>
        </w:rPr>
        <w:t>项目跟踪、宣传和推广</w:t>
      </w:r>
    </w:p>
    <w:p>
      <w:pPr>
        <w:pStyle w:val="2"/>
        <w:numPr>
          <w:ilvl w:val="0"/>
          <w:numId w:val="0"/>
        </w:num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 xml:space="preserve">第十七条  </w:t>
      </w:r>
      <w:r>
        <w:rPr>
          <w:rFonts w:hint="eastAsia" w:ascii="仿宋_GB2312" w:hAnsi="仿宋_GB2312" w:eastAsia="仿宋_GB2312" w:cs="仿宋_GB2312"/>
          <w:b w:val="0"/>
          <w:bCs w:val="0"/>
          <w:snapToGrid/>
          <w:kern w:val="2"/>
          <w:sz w:val="32"/>
          <w:szCs w:val="32"/>
          <w:lang w:val="en-US" w:eastAsia="zh-CN"/>
        </w:rPr>
        <w:t>连州市工业和信息化局应跟踪、统计并上报财政资金实际支出进度，比对项目下达文件、资金支出凭证等材料，确保实际支出进度的真实性和准确性，有关情况及时报告。</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b/>
          <w:bCs/>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 xml:space="preserve">第十八条  </w:t>
      </w:r>
      <w:r>
        <w:rPr>
          <w:rFonts w:hint="eastAsia" w:ascii="仿宋_GB2312" w:hAnsi="仿宋_GB2312" w:eastAsia="仿宋_GB2312" w:cs="仿宋_GB2312"/>
          <w:b w:val="0"/>
          <w:bCs w:val="0"/>
          <w:snapToGrid/>
          <w:kern w:val="2"/>
          <w:sz w:val="32"/>
          <w:szCs w:val="32"/>
          <w:lang w:val="en-US" w:eastAsia="zh-CN"/>
        </w:rPr>
        <w:t>各镇（乡）和第三方（会计事务所）要强化对项目建设的管理，建立日常项目跟踪机制，完善项目管理、资金管理等各项工作制度，及时指导和协调解决项目实施中遇到的困难和问题，确保项目按期保质完成，加强财政资金对项目实施的推动引领、示范带动作用。对中央资金投入形成固定资产的，应明确权属和管理服务部门，增强可持续经营能力。对确须调整实施内容或延长项目实施期限的，连州市工业和信息化局要认真核实，及时审批。</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 xml:space="preserve">第十九条  </w:t>
      </w:r>
      <w:r>
        <w:rPr>
          <w:rFonts w:hint="eastAsia" w:ascii="仿宋_GB2312" w:hAnsi="仿宋_GB2312" w:eastAsia="仿宋_GB2312" w:cs="仿宋_GB2312"/>
          <w:b w:val="0"/>
          <w:bCs w:val="0"/>
          <w:snapToGrid/>
          <w:kern w:val="2"/>
          <w:sz w:val="32"/>
          <w:szCs w:val="32"/>
          <w:lang w:val="en-US" w:eastAsia="zh-CN"/>
        </w:rPr>
        <w:t>各镇（乡）和连州市工业和信息化局要督促项目单位按实施计划加快执行进度，严格按照财务规章制度和会计核算办法进行账务处理，及时取得支持期限内票据，以免延误验收进程。</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 xml:space="preserve">第二十条  </w:t>
      </w:r>
      <w:r>
        <w:rPr>
          <w:rFonts w:hint="eastAsia" w:ascii="仿宋_GB2312" w:hAnsi="仿宋_GB2312" w:eastAsia="仿宋_GB2312" w:cs="仿宋_GB2312"/>
          <w:b w:val="0"/>
          <w:bCs w:val="0"/>
          <w:snapToGrid/>
          <w:kern w:val="2"/>
          <w:sz w:val="32"/>
          <w:szCs w:val="32"/>
          <w:lang w:val="en-US" w:eastAsia="zh-CN"/>
        </w:rPr>
        <w:t>连州市工业和信息化局和连州市财政局按照工作职责分工，要跟踪项目进展及补助资金使用情况，建立项目及资金管理情况台账，做到资料详实、手续齐备、程序合规、查验方便。</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 xml:space="preserve">第二十一条  </w:t>
      </w:r>
      <w:r>
        <w:rPr>
          <w:rFonts w:hint="eastAsia" w:ascii="仿宋_GB2312" w:hAnsi="仿宋_GB2312" w:eastAsia="仿宋_GB2312" w:cs="仿宋_GB2312"/>
          <w:b w:val="0"/>
          <w:bCs w:val="0"/>
          <w:snapToGrid/>
          <w:kern w:val="2"/>
          <w:sz w:val="32"/>
          <w:szCs w:val="32"/>
          <w:lang w:val="en-US" w:eastAsia="zh-CN"/>
        </w:rPr>
        <w:t>各镇（乡）、连州市工业和信息化局要及时跟进项目的进展情况，建立日常监督检查机制，及时指导项目单位纠正执行中的偏差，调整、暂缓或停止偏差严重的项目，确保绩效目标如期保质完成。对所有项目均应落实日常的跟踪检查。</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 xml:space="preserve">第二十二条  </w:t>
      </w:r>
      <w:r>
        <w:rPr>
          <w:rFonts w:hint="eastAsia" w:ascii="仿宋_GB2312" w:hAnsi="仿宋_GB2312" w:eastAsia="仿宋_GB2312" w:cs="仿宋_GB2312"/>
          <w:b w:val="0"/>
          <w:bCs w:val="0"/>
          <w:snapToGrid/>
          <w:kern w:val="2"/>
          <w:sz w:val="32"/>
          <w:szCs w:val="32"/>
          <w:lang w:val="en-US" w:eastAsia="zh-CN"/>
        </w:rPr>
        <w:t>连州市统计局、连州市工业和信息化局要重视统计和监测工作，加强对各项绩效目标完成度的跟踪统计，完善对县域流通体系发展相关指标如重点商贸流通企业、县域流通网点、商贸中心、县镇村物流配送点设置和数量、业务量等方面指标的统计监测，为县域发展和政策制订提供量化依据。</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b w:val="0"/>
          <w:bCs w:val="0"/>
          <w:snapToGrid/>
          <w:kern w:val="2"/>
          <w:sz w:val="32"/>
          <w:szCs w:val="32"/>
          <w:lang w:val="en-US" w:eastAsia="zh-CN"/>
        </w:rPr>
      </w:pPr>
      <w:r>
        <w:rPr>
          <w:rFonts w:hint="eastAsia" w:ascii="仿宋_GB2312" w:hAnsi="仿宋_GB2312" w:eastAsia="仿宋_GB2312" w:cs="仿宋_GB2312"/>
          <w:b/>
          <w:bCs/>
          <w:snapToGrid/>
          <w:kern w:val="2"/>
          <w:sz w:val="32"/>
          <w:szCs w:val="32"/>
          <w:lang w:val="en-US" w:eastAsia="zh-CN"/>
        </w:rPr>
        <w:t xml:space="preserve">第二十三条  </w:t>
      </w:r>
      <w:r>
        <w:rPr>
          <w:rFonts w:hint="eastAsia" w:ascii="仿宋_GB2312" w:hAnsi="仿宋_GB2312" w:eastAsia="仿宋_GB2312" w:cs="仿宋_GB2312"/>
          <w:b w:val="0"/>
          <w:bCs w:val="0"/>
          <w:snapToGrid/>
          <w:kern w:val="2"/>
          <w:sz w:val="32"/>
          <w:szCs w:val="32"/>
          <w:lang w:val="en-US" w:eastAsia="zh-CN"/>
        </w:rPr>
        <w:t>各镇（乡）、连州市工业和信息化局要重视项目实施成效宣传和总结工作，多渠道宣传工作成效，引导更多企业及相关主体积极参与县域流通发展事业，总结做法和亮点，形成可复制、可推广的创新模式。应督促项目单位在醒目位置设置国家县域商业建设行动相关推广名称及标识。</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napToGrid/>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720" w:firstLineChars="200"/>
        <w:jc w:val="center"/>
        <w:textAlignment w:val="auto"/>
        <w:rPr>
          <w:rFonts w:hint="eastAsia" w:asciiTheme="majorEastAsia" w:hAnsiTheme="majorEastAsia" w:eastAsiaTheme="majorEastAsia" w:cstheme="majorEastAsia"/>
          <w:b/>
          <w:bCs/>
          <w:snapToGrid/>
          <w:kern w:val="2"/>
          <w:sz w:val="36"/>
          <w:szCs w:val="36"/>
          <w:lang w:eastAsia="zh-CN"/>
        </w:rPr>
      </w:pPr>
      <w:r>
        <w:rPr>
          <w:rFonts w:hint="eastAsia" w:asciiTheme="majorEastAsia" w:hAnsiTheme="majorEastAsia" w:eastAsiaTheme="majorEastAsia" w:cstheme="majorEastAsia"/>
          <w:b/>
          <w:bCs/>
          <w:snapToGrid/>
          <w:kern w:val="2"/>
          <w:sz w:val="36"/>
          <w:szCs w:val="36"/>
          <w:lang w:eastAsia="zh-CN"/>
        </w:rPr>
        <w:t>第</w:t>
      </w:r>
      <w:r>
        <w:rPr>
          <w:rFonts w:hint="eastAsia" w:asciiTheme="majorEastAsia" w:hAnsiTheme="majorEastAsia" w:eastAsiaTheme="majorEastAsia" w:cstheme="majorEastAsia"/>
          <w:b/>
          <w:bCs/>
          <w:snapToGrid/>
          <w:kern w:val="2"/>
          <w:sz w:val="36"/>
          <w:szCs w:val="36"/>
          <w:lang w:val="en-US" w:eastAsia="zh-CN"/>
        </w:rPr>
        <w:t>六</w:t>
      </w:r>
      <w:r>
        <w:rPr>
          <w:rFonts w:hint="eastAsia" w:asciiTheme="majorEastAsia" w:hAnsiTheme="majorEastAsia" w:eastAsiaTheme="majorEastAsia" w:cstheme="majorEastAsia"/>
          <w:b/>
          <w:bCs/>
          <w:snapToGrid/>
          <w:kern w:val="2"/>
          <w:sz w:val="36"/>
          <w:szCs w:val="36"/>
          <w:lang w:eastAsia="zh-CN"/>
        </w:rPr>
        <w:t>章 项目承担单位</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仿宋_GB2312" w:hAnsi="仿宋_GB2312" w:eastAsia="仿宋_GB2312" w:cs="仿宋_GB2312"/>
          <w:snapToGrid/>
          <w:kern w:val="2"/>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w:t>
      </w:r>
      <w:r>
        <w:rPr>
          <w:rFonts w:hint="eastAsia" w:ascii="仿宋_GB2312" w:hAnsi="仿宋_GB2312" w:eastAsia="仿宋_GB2312" w:cs="仿宋_GB2312"/>
          <w:b/>
          <w:bCs/>
          <w:snapToGrid/>
          <w:color w:val="000000"/>
          <w:kern w:val="2"/>
          <w:sz w:val="32"/>
          <w:szCs w:val="32"/>
          <w:lang w:val="en-US" w:eastAsia="zh-CN" w:bidi="ar-SA"/>
        </w:rPr>
        <w:t>二十四</w:t>
      </w:r>
      <w:r>
        <w:rPr>
          <w:rFonts w:hint="eastAsia" w:ascii="仿宋_GB2312" w:hAnsi="仿宋_GB2312" w:eastAsia="仿宋_GB2312" w:cs="仿宋_GB2312"/>
          <w:b/>
          <w:bCs/>
          <w:snapToGrid/>
          <w:kern w:val="2"/>
          <w:sz w:val="32"/>
          <w:szCs w:val="32"/>
          <w:lang w:eastAsia="zh-CN"/>
        </w:rPr>
        <w:t>条</w:t>
      </w:r>
      <w:r>
        <w:rPr>
          <w:rFonts w:hint="eastAsia" w:ascii="仿宋_GB2312" w:hAnsi="仿宋_GB2312" w:eastAsia="仿宋_GB2312" w:cs="仿宋_GB2312"/>
          <w:b/>
          <w:bCs/>
          <w:snapToGrid/>
          <w:kern w:val="2"/>
          <w:sz w:val="32"/>
          <w:szCs w:val="32"/>
          <w:lang w:val="en-US" w:eastAsia="zh-CN"/>
        </w:rPr>
        <w:t xml:space="preserve"> </w:t>
      </w:r>
      <w:r>
        <w:rPr>
          <w:rFonts w:hint="eastAsia" w:ascii="仿宋_GB2312" w:hAnsi="仿宋_GB2312" w:eastAsia="仿宋_GB2312" w:cs="仿宋_GB2312"/>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各项目承担单位应严格落实项目申报指南、下达文件各项要求，确保项目实施方向合规、票据真实，对获得的专项资金应专款专用、单独核算，不得以弄虚作假、充数做账等方式套取财政专项资金。对于违反有关财政资金使用规定要求的，将视情取消扶持资格，收回扶持资金，列入财政补助黑名单，落实惩戒机制，不得再次申请任何财政资金支持。</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snapToGrid/>
          <w:kern w:val="2"/>
          <w:sz w:val="32"/>
          <w:szCs w:val="32"/>
          <w:lang w:eastAsia="zh-CN"/>
        </w:rPr>
      </w:pPr>
      <w:r>
        <w:rPr>
          <w:rFonts w:hint="eastAsia" w:ascii="仿宋_GB2312" w:hAnsi="仿宋_GB2312" w:eastAsia="仿宋_GB2312" w:cs="仿宋_GB2312"/>
          <w:b/>
          <w:bCs/>
          <w:snapToGrid/>
          <w:kern w:val="2"/>
          <w:sz w:val="32"/>
          <w:szCs w:val="32"/>
          <w:lang w:eastAsia="zh-CN"/>
        </w:rPr>
        <w:t>第</w:t>
      </w:r>
      <w:r>
        <w:rPr>
          <w:rFonts w:hint="eastAsia" w:ascii="仿宋_GB2312" w:hAnsi="仿宋_GB2312" w:eastAsia="仿宋_GB2312" w:cs="仿宋_GB2312"/>
          <w:b/>
          <w:bCs/>
          <w:snapToGrid/>
          <w:color w:val="000000"/>
          <w:kern w:val="2"/>
          <w:sz w:val="32"/>
          <w:szCs w:val="32"/>
          <w:lang w:val="en-US" w:eastAsia="zh-CN" w:bidi="ar-SA"/>
        </w:rPr>
        <w:t>二十五</w:t>
      </w:r>
      <w:r>
        <w:rPr>
          <w:rFonts w:hint="eastAsia" w:ascii="仿宋_GB2312" w:hAnsi="仿宋_GB2312" w:eastAsia="仿宋_GB2312" w:cs="仿宋_GB2312"/>
          <w:b/>
          <w:bCs/>
          <w:snapToGrid/>
          <w:kern w:val="2"/>
          <w:sz w:val="32"/>
          <w:szCs w:val="32"/>
          <w:lang w:eastAsia="zh-CN"/>
        </w:rPr>
        <w:t>条</w:t>
      </w:r>
      <w:r>
        <w:rPr>
          <w:rFonts w:hint="eastAsia" w:ascii="仿宋_GB2312" w:hAnsi="仿宋_GB2312" w:eastAsia="仿宋_GB2312" w:cs="仿宋_GB2312"/>
          <w:b/>
          <w:bCs/>
          <w:snapToGrid/>
          <w:kern w:val="2"/>
          <w:sz w:val="32"/>
          <w:szCs w:val="32"/>
          <w:lang w:val="en-US" w:eastAsia="zh-CN"/>
        </w:rPr>
        <w:t xml:space="preserve">  </w:t>
      </w:r>
      <w:r>
        <w:rPr>
          <w:rFonts w:hint="eastAsia" w:ascii="仿宋_GB2312" w:hAnsi="仿宋_GB2312" w:eastAsia="仿宋_GB2312" w:cs="仿宋_GB2312"/>
          <w:snapToGrid/>
          <w:kern w:val="2"/>
          <w:sz w:val="32"/>
          <w:szCs w:val="32"/>
          <w:lang w:eastAsia="zh-CN"/>
        </w:rPr>
        <w:t>各项目承担单位要加快申报建设内容实施进度，及时取得建设期内发票，确需调整实施内容或延长实施期限的，应及时向</w:t>
      </w:r>
      <w:r>
        <w:rPr>
          <w:rFonts w:hint="eastAsia" w:ascii="仿宋_GB2312" w:hAnsi="仿宋_GB2312" w:eastAsia="仿宋_GB2312" w:cs="仿宋_GB2312"/>
          <w:snapToGrid/>
          <w:kern w:val="2"/>
          <w:sz w:val="32"/>
          <w:szCs w:val="32"/>
          <w:lang w:val="en-US" w:eastAsia="zh-CN"/>
        </w:rPr>
        <w:t>连州市工业和信息化局</w:t>
      </w:r>
      <w:r>
        <w:rPr>
          <w:rFonts w:hint="eastAsia" w:ascii="仿宋_GB2312" w:hAnsi="仿宋_GB2312" w:eastAsia="仿宋_GB2312" w:cs="仿宋_GB2312"/>
          <w:snapToGrid/>
          <w:kern w:val="2"/>
          <w:sz w:val="32"/>
          <w:szCs w:val="32"/>
          <w:lang w:eastAsia="zh-CN"/>
        </w:rPr>
        <w:t>提出申请。在项目建设完成后，及时安排第三方会计师事务所进行资金投入审计，出具审计报告后及时向</w:t>
      </w:r>
      <w:r>
        <w:rPr>
          <w:rFonts w:hint="eastAsia" w:ascii="仿宋_GB2312" w:hAnsi="仿宋_GB2312" w:eastAsia="仿宋_GB2312" w:cs="仿宋_GB2312"/>
          <w:snapToGrid/>
          <w:kern w:val="2"/>
          <w:sz w:val="32"/>
          <w:szCs w:val="32"/>
          <w:lang w:val="en-US" w:eastAsia="zh-CN"/>
        </w:rPr>
        <w:t>连州市工业和信息化局</w:t>
      </w:r>
      <w:r>
        <w:rPr>
          <w:rFonts w:hint="eastAsia" w:ascii="仿宋_GB2312" w:hAnsi="仿宋_GB2312" w:eastAsia="仿宋_GB2312" w:cs="仿宋_GB2312"/>
          <w:snapToGrid/>
          <w:kern w:val="2"/>
          <w:sz w:val="32"/>
          <w:szCs w:val="32"/>
          <w:lang w:eastAsia="zh-CN"/>
        </w:rPr>
        <w:t>提请验收。审计报告应详细罗列符合支持范围的支出发票清单，以便进行验收审核。</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b w:val="0"/>
          <w:bCs w:val="0"/>
          <w:snapToGrid/>
          <w:kern w:val="2"/>
          <w:sz w:val="32"/>
          <w:szCs w:val="32"/>
          <w:lang w:eastAsia="zh-CN"/>
        </w:rPr>
      </w:pPr>
      <w:r>
        <w:rPr>
          <w:rFonts w:hint="eastAsia" w:ascii="仿宋_GB2312" w:hAnsi="仿宋_GB2312" w:eastAsia="仿宋_GB2312" w:cs="仿宋_GB2312"/>
          <w:b/>
          <w:bCs/>
          <w:snapToGrid/>
          <w:kern w:val="2"/>
          <w:sz w:val="32"/>
          <w:szCs w:val="32"/>
          <w:lang w:eastAsia="zh-CN"/>
        </w:rPr>
        <w:t>第二十</w:t>
      </w:r>
      <w:r>
        <w:rPr>
          <w:rFonts w:hint="eastAsia" w:ascii="仿宋_GB2312" w:hAnsi="仿宋_GB2312" w:eastAsia="仿宋_GB2312" w:cs="仿宋_GB2312"/>
          <w:b/>
          <w:bCs/>
          <w:snapToGrid/>
          <w:kern w:val="2"/>
          <w:sz w:val="32"/>
          <w:szCs w:val="32"/>
          <w:lang w:val="en-US" w:eastAsia="zh-CN"/>
        </w:rPr>
        <w:t>六</w:t>
      </w:r>
      <w:r>
        <w:rPr>
          <w:rFonts w:hint="eastAsia" w:ascii="仿宋_GB2312" w:hAnsi="仿宋_GB2312" w:eastAsia="仿宋_GB2312" w:cs="仿宋_GB2312"/>
          <w:b/>
          <w:bCs/>
          <w:snapToGrid/>
          <w:kern w:val="2"/>
          <w:sz w:val="32"/>
          <w:szCs w:val="32"/>
          <w:lang w:eastAsia="zh-CN"/>
        </w:rPr>
        <w:t>条</w:t>
      </w:r>
      <w:r>
        <w:rPr>
          <w:rFonts w:hint="eastAsia" w:ascii="仿宋_GB2312" w:hAnsi="仿宋_GB2312" w:eastAsia="仿宋_GB2312" w:cs="仿宋_GB2312"/>
          <w:b/>
          <w:bCs/>
          <w:snapToGrid/>
          <w:kern w:val="2"/>
          <w:sz w:val="32"/>
          <w:szCs w:val="32"/>
          <w:lang w:val="en-US" w:eastAsia="zh-CN"/>
        </w:rPr>
        <w:t xml:space="preserve">  </w:t>
      </w:r>
      <w:r>
        <w:rPr>
          <w:rFonts w:hint="eastAsia" w:ascii="仿宋_GB2312" w:hAnsi="仿宋_GB2312" w:eastAsia="仿宋_GB2312" w:cs="仿宋_GB2312"/>
          <w:b w:val="0"/>
          <w:bCs w:val="0"/>
          <w:snapToGrid/>
          <w:kern w:val="2"/>
          <w:sz w:val="32"/>
          <w:szCs w:val="32"/>
          <w:lang w:eastAsia="zh-CN"/>
        </w:rPr>
        <w:t>各项目承担单位要履行财政资金支持相关的工作责任，按要求报送项目实施效果数据，配合开展资金使用绩效评价。要配合开展工作宣传，按要求提供相关宣传材料，如有要求，应在项目醒目位置设置国家县域商业建设行动相关推广名称及标识（提出验收申请前应设置完成）。</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720" w:firstLineChars="200"/>
        <w:jc w:val="center"/>
        <w:textAlignment w:val="auto"/>
        <w:rPr>
          <w:rFonts w:hint="eastAsia" w:asciiTheme="majorEastAsia" w:hAnsiTheme="majorEastAsia" w:eastAsiaTheme="majorEastAsia" w:cstheme="majorEastAsia"/>
          <w:b/>
          <w:bCs/>
          <w:snapToGrid/>
          <w:kern w:val="2"/>
          <w:sz w:val="36"/>
          <w:szCs w:val="36"/>
          <w:lang w:eastAsia="zh-CN"/>
        </w:rPr>
      </w:pPr>
      <w:r>
        <w:rPr>
          <w:rFonts w:hint="eastAsia" w:asciiTheme="majorEastAsia" w:hAnsiTheme="majorEastAsia" w:eastAsiaTheme="majorEastAsia" w:cstheme="majorEastAsia"/>
          <w:b/>
          <w:bCs/>
          <w:snapToGrid/>
          <w:kern w:val="2"/>
          <w:sz w:val="36"/>
          <w:szCs w:val="36"/>
          <w:lang w:eastAsia="zh-CN"/>
        </w:rPr>
        <w:t>第七章 附 则</w:t>
      </w:r>
    </w:p>
    <w:p>
      <w:pPr>
        <w:pStyle w:val="2"/>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b/>
          <w:bCs/>
          <w:snapToGrid/>
          <w:kern w:val="2"/>
          <w:sz w:val="32"/>
          <w:szCs w:val="32"/>
          <w:lang w:eastAsia="zh-CN"/>
        </w:rPr>
      </w:pPr>
      <w:r>
        <w:rPr>
          <w:rFonts w:hint="eastAsia" w:ascii="仿宋_GB2312" w:hAnsi="仿宋_GB2312" w:eastAsia="仿宋_GB2312" w:cs="仿宋_GB2312"/>
          <w:b/>
          <w:bCs/>
          <w:snapToGrid/>
          <w:kern w:val="2"/>
          <w:sz w:val="32"/>
          <w:szCs w:val="32"/>
          <w:lang w:eastAsia="zh-CN"/>
        </w:rPr>
        <w:t>第二十</w:t>
      </w:r>
      <w:r>
        <w:rPr>
          <w:rFonts w:hint="eastAsia" w:ascii="仿宋_GB2312" w:hAnsi="仿宋_GB2312" w:eastAsia="仿宋_GB2312" w:cs="仿宋_GB2312"/>
          <w:b/>
          <w:bCs/>
          <w:snapToGrid/>
          <w:kern w:val="2"/>
          <w:sz w:val="32"/>
          <w:szCs w:val="32"/>
          <w:lang w:val="en-US" w:eastAsia="zh-CN"/>
        </w:rPr>
        <w:t>七</w:t>
      </w:r>
      <w:r>
        <w:rPr>
          <w:rFonts w:hint="eastAsia" w:ascii="仿宋_GB2312" w:hAnsi="仿宋_GB2312" w:eastAsia="仿宋_GB2312" w:cs="仿宋_GB2312"/>
          <w:b/>
          <w:bCs/>
          <w:snapToGrid/>
          <w:kern w:val="2"/>
          <w:sz w:val="32"/>
          <w:szCs w:val="32"/>
          <w:lang w:eastAsia="zh-CN"/>
        </w:rPr>
        <w:t xml:space="preserve">条 </w:t>
      </w:r>
      <w:r>
        <w:rPr>
          <w:rFonts w:hint="eastAsia" w:ascii="仿宋_GB2312" w:hAnsi="仿宋_GB2312" w:eastAsia="仿宋_GB2312" w:cs="仿宋_GB2312"/>
          <w:b/>
          <w:bCs/>
          <w:snapToGrid/>
          <w:kern w:val="2"/>
          <w:sz w:val="32"/>
          <w:szCs w:val="32"/>
          <w:lang w:val="en-US" w:eastAsia="zh-CN"/>
        </w:rPr>
        <w:t xml:space="preserve"> </w:t>
      </w:r>
      <w:r>
        <w:rPr>
          <w:rFonts w:hint="eastAsia" w:ascii="仿宋_GB2312" w:hAnsi="仿宋_GB2312" w:eastAsia="仿宋_GB2312" w:cs="仿宋_GB2312"/>
          <w:b w:val="0"/>
          <w:bCs w:val="0"/>
          <w:snapToGrid/>
          <w:kern w:val="2"/>
          <w:sz w:val="32"/>
          <w:szCs w:val="32"/>
          <w:lang w:eastAsia="zh-CN"/>
        </w:rPr>
        <w:t>本办法由</w:t>
      </w:r>
      <w:r>
        <w:rPr>
          <w:rFonts w:hint="eastAsia" w:ascii="仿宋_GB2312" w:hAnsi="仿宋_GB2312" w:eastAsia="仿宋_GB2312" w:cs="仿宋_GB2312"/>
          <w:b w:val="0"/>
          <w:bCs w:val="0"/>
          <w:snapToGrid/>
          <w:kern w:val="2"/>
          <w:sz w:val="32"/>
          <w:szCs w:val="32"/>
          <w:lang w:val="en-US" w:eastAsia="zh-CN"/>
        </w:rPr>
        <w:t>连州市工业和信息化局</w:t>
      </w:r>
      <w:r>
        <w:rPr>
          <w:rFonts w:hint="eastAsia" w:ascii="仿宋_GB2312" w:hAnsi="仿宋_GB2312" w:eastAsia="仿宋_GB2312" w:cs="仿宋_GB2312"/>
          <w:b w:val="0"/>
          <w:bCs w:val="0"/>
          <w:snapToGrid/>
          <w:kern w:val="2"/>
          <w:sz w:val="32"/>
          <w:szCs w:val="32"/>
          <w:lang w:eastAsia="zh-CN"/>
        </w:rPr>
        <w:t>负责解释。</w:t>
      </w:r>
    </w:p>
    <w:p>
      <w:pPr>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hAnsi="仿宋_GB2312" w:eastAsia="仿宋_GB2312" w:cs="仿宋_GB2312"/>
          <w:b w:val="0"/>
          <w:bCs w:val="0"/>
          <w:snapToGrid/>
          <w:kern w:val="2"/>
          <w:sz w:val="32"/>
          <w:szCs w:val="32"/>
          <w:lang w:eastAsia="zh-CN"/>
        </w:rPr>
      </w:pPr>
      <w:r>
        <w:rPr>
          <w:rFonts w:hint="eastAsia" w:ascii="仿宋_GB2312" w:hAnsi="仿宋_GB2312" w:eastAsia="仿宋_GB2312" w:cs="仿宋_GB2312"/>
          <w:b/>
          <w:bCs/>
          <w:snapToGrid/>
          <w:kern w:val="2"/>
          <w:sz w:val="32"/>
          <w:szCs w:val="32"/>
          <w:lang w:eastAsia="zh-CN"/>
        </w:rPr>
        <w:t>第二十</w:t>
      </w:r>
      <w:r>
        <w:rPr>
          <w:rFonts w:hint="eastAsia" w:ascii="仿宋_GB2312" w:hAnsi="仿宋_GB2312" w:eastAsia="仿宋_GB2312" w:cs="仿宋_GB2312"/>
          <w:b/>
          <w:bCs/>
          <w:snapToGrid/>
          <w:kern w:val="2"/>
          <w:sz w:val="32"/>
          <w:szCs w:val="32"/>
          <w:lang w:val="en-US" w:eastAsia="zh-CN"/>
        </w:rPr>
        <w:t>八</w:t>
      </w:r>
      <w:r>
        <w:rPr>
          <w:rFonts w:hint="eastAsia" w:ascii="仿宋_GB2312" w:hAnsi="仿宋_GB2312" w:eastAsia="仿宋_GB2312" w:cs="仿宋_GB2312"/>
          <w:b/>
          <w:bCs/>
          <w:snapToGrid/>
          <w:kern w:val="2"/>
          <w:sz w:val="32"/>
          <w:szCs w:val="32"/>
          <w:lang w:eastAsia="zh-CN"/>
        </w:rPr>
        <w:t xml:space="preserve">条 </w:t>
      </w:r>
      <w:r>
        <w:rPr>
          <w:rFonts w:hint="eastAsia" w:ascii="仿宋_GB2312" w:hAnsi="仿宋_GB2312" w:eastAsia="仿宋_GB2312" w:cs="仿宋_GB2312"/>
          <w:b/>
          <w:bCs/>
          <w:snapToGrid/>
          <w:kern w:val="2"/>
          <w:sz w:val="32"/>
          <w:szCs w:val="32"/>
          <w:lang w:val="en-US" w:eastAsia="zh-CN"/>
        </w:rPr>
        <w:t xml:space="preserve"> </w:t>
      </w:r>
      <w:r>
        <w:rPr>
          <w:rFonts w:hint="eastAsia" w:ascii="仿宋_GB2312" w:hAnsi="仿宋_GB2312" w:eastAsia="仿宋_GB2312" w:cs="仿宋_GB2312"/>
          <w:b w:val="0"/>
          <w:bCs w:val="0"/>
          <w:snapToGrid/>
          <w:kern w:val="2"/>
          <w:sz w:val="32"/>
          <w:szCs w:val="32"/>
          <w:lang w:eastAsia="zh-CN"/>
        </w:rPr>
        <w:t>本办法自印发之日起施行，内容有调整的以调整后的为准。</w:t>
      </w:r>
    </w:p>
    <w:p>
      <w:pPr>
        <w:rPr>
          <w:rFonts w:hint="eastAsia" w:ascii="Times New Roman" w:hAnsi="Times New Roman" w:eastAsia="宋体" w:cs="Times New Roman"/>
          <w:sz w:val="28"/>
          <w:szCs w:val="28"/>
        </w:rPr>
      </w:pPr>
    </w:p>
    <w:p>
      <w:pPr>
        <w:rPr>
          <w:rFonts w:hint="eastAsia" w:ascii="Times New Roman" w:hAnsi="Times New Roman" w:eastAsia="宋体" w:cs="Times New Roman"/>
          <w:sz w:val="28"/>
          <w:szCs w:val="28"/>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圆B5"/>
    <w:panose1 w:val="02010600030101010101"/>
    <w:charset w:val="86"/>
    <w:family w:val="auto"/>
    <w:pitch w:val="default"/>
    <w:sig w:usb0="00000000" w:usb1="00000000" w:usb2="00000016" w:usb3="00000000" w:csb0="0004000F" w:csb1="00000000"/>
  </w:font>
  <w:font w:name="仿宋">
    <w:altName w:val="方正仿宋_GBK"/>
    <w:panose1 w:val="02010609060101010101"/>
    <w:charset w:val="86"/>
    <w:family w:val="auto"/>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国标仿宋">
    <w:panose1 w:val="02000500000000000000"/>
    <w:charset w:val="86"/>
    <w:family w:val="auto"/>
    <w:pitch w:val="default"/>
    <w:sig w:usb0="A00002BF" w:usb1="38C77CFA" w:usb2="00000016" w:usb3="00000000" w:csb0="00060007" w:csb1="00000000"/>
  </w:font>
  <w:font w:name="方正小标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00"/>
    <w:family w:val="auto"/>
    <w:pitch w:val="default"/>
    <w:sig w:usb0="00000000" w:usb1="00000000" w:usb2="00000000" w:usb3="00000000" w:csb0="00040000" w:csb1="00000000"/>
  </w:font>
  <w:font w:name="微软雅黑">
    <w:altName w:val="方正黑体_GBK"/>
    <w:panose1 w:val="020B0503020204020204"/>
    <w:charset w:val="86"/>
    <w:family w:val="roman"/>
    <w:pitch w:val="default"/>
    <w:sig w:usb0="00000000" w:usb1="00000000" w:usb2="00000016" w:usb3="00000000" w:csb0="0004001F" w:csb1="00000000"/>
  </w:font>
  <w:font w:name="等线 Light">
    <w:altName w:val="汉仪仿宋S"/>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等线">
    <w:altName w:val="汉仪仿宋S"/>
    <w:panose1 w:val="00000000000000000000"/>
    <w:charset w:val="00"/>
    <w:family w:val="auto"/>
    <w:pitch w:val="default"/>
    <w:sig w:usb0="00000000" w:usb1="00000000" w:usb2="00000000" w:usb3="00000000" w:csb0="00000000" w:csb1="00000000"/>
  </w:font>
  <w:font w:name="汉仪仿宋S">
    <w:panose1 w:val="00020600040101000101"/>
    <w:charset w:val="86"/>
    <w:family w:val="auto"/>
    <w:pitch w:val="default"/>
    <w:sig w:usb0="A00002BF" w:usb1="38CF7CFA" w:usb2="00000016" w:usb3="00000000" w:csb0="0004009F"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汉仪中圆B5">
    <w:panose1 w:val="02010600000101010101"/>
    <w:charset w:val="88"/>
    <w:family w:val="auto"/>
    <w:pitch w:val="default"/>
    <w:sig w:usb0="00000001" w:usb1="080E0800" w:usb2="00000002"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5"/>
                      <w:rPr>
                        <w:sz w:val="30"/>
                        <w:szCs w:val="30"/>
                      </w:rPr>
                    </w:pPr>
                    <w:r>
                      <w:rPr>
                        <w:sz w:val="30"/>
                        <w:szCs w:val="30"/>
                      </w:rPr>
                      <w:fldChar w:fldCharType="begin"/>
                    </w:r>
                    <w:r>
                      <w:rPr>
                        <w:sz w:val="30"/>
                        <w:szCs w:val="30"/>
                      </w:rPr>
                      <w:instrText xml:space="preserve"> PAGE  \* MERGEFORMAT </w:instrText>
                    </w:r>
                    <w:r>
                      <w:rPr>
                        <w:sz w:val="30"/>
                        <w:szCs w:val="30"/>
                      </w:rPr>
                      <w:fldChar w:fldCharType="separate"/>
                    </w:r>
                    <w:r>
                      <w:rPr>
                        <w:sz w:val="30"/>
                        <w:szCs w:val="30"/>
                      </w:rPr>
                      <w:t>1</w:t>
                    </w:r>
                    <w:r>
                      <w:rPr>
                        <w:sz w:val="30"/>
                        <w:szCs w:val="3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67780E"/>
    <w:multiLevelType w:val="singleLevel"/>
    <w:tmpl w:val="F367780E"/>
    <w:lvl w:ilvl="0" w:tentative="0">
      <w:start w:val="5"/>
      <w:numFmt w:val="chineseCounting"/>
      <w:suff w:val="space"/>
      <w:lvlText w:val="第%1章"/>
      <w:lvlJc w:val="left"/>
      <w:rPr>
        <w:rFonts w:hint="eastAsia"/>
      </w:rPr>
    </w:lvl>
  </w:abstractNum>
  <w:abstractNum w:abstractNumId="1">
    <w:nsid w:val="FE389ACF"/>
    <w:multiLevelType w:val="singleLevel"/>
    <w:tmpl w:val="FE389AC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DE8"/>
    <w:rsid w:val="00065DE8"/>
    <w:rsid w:val="000A4CFB"/>
    <w:rsid w:val="001549A4"/>
    <w:rsid w:val="002049FE"/>
    <w:rsid w:val="003C0318"/>
    <w:rsid w:val="005D1448"/>
    <w:rsid w:val="00822175"/>
    <w:rsid w:val="00921A2E"/>
    <w:rsid w:val="00EE7B6D"/>
    <w:rsid w:val="00FE22C1"/>
    <w:rsid w:val="31FF2D6C"/>
    <w:rsid w:val="3AAF982B"/>
    <w:rsid w:val="3EFBDC58"/>
    <w:rsid w:val="56DE01A4"/>
    <w:rsid w:val="57138368"/>
    <w:rsid w:val="6D7ABA1B"/>
    <w:rsid w:val="75F350B3"/>
    <w:rsid w:val="79FFDC27"/>
    <w:rsid w:val="7FF431DA"/>
    <w:rsid w:val="BB7E5D8A"/>
    <w:rsid w:val="CFCF01BF"/>
    <w:rsid w:val="D7FA002C"/>
    <w:rsid w:val="DDDD203A"/>
    <w:rsid w:val="DFF1A3DF"/>
    <w:rsid w:val="EC7FB9E8"/>
    <w:rsid w:val="FB77E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link w:val="9"/>
    <w:semiHidden/>
    <w:unhideWhenUsed/>
    <w:qFormat/>
    <w:uiPriority w:val="9"/>
    <w:pPr>
      <w:keepNext/>
      <w:keepLines/>
      <w:spacing w:before="50" w:beforeLines="50" w:after="50" w:afterLines="50" w:line="360" w:lineRule="auto"/>
      <w:outlineLvl w:val="1"/>
    </w:pPr>
    <w:rPr>
      <w:rFonts w:ascii="Times New Roman" w:hAnsi="Times New Roman" w:eastAsia="宋体" w:cstheme="majorBidi"/>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semiHidden/>
    <w:qFormat/>
    <w:uiPriority w:val="0"/>
    <w:rPr>
      <w:rFonts w:ascii="仿宋" w:hAnsi="仿宋" w:eastAsia="仿宋" w:cs="仿宋"/>
      <w:sz w:val="31"/>
      <w:szCs w:val="31"/>
    </w:rPr>
  </w:style>
  <w:style w:type="paragraph" w:styleId="3">
    <w:name w:val="toc 5"/>
    <w:basedOn w:val="1"/>
    <w:next w:val="1"/>
    <w:qFormat/>
    <w:uiPriority w:val="0"/>
    <w:pPr>
      <w:ind w:left="1680" w:leftChars="800"/>
    </w:p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tabs>
        <w:tab w:val="center" w:pos="4153"/>
        <w:tab w:val="right" w:pos="8306"/>
      </w:tabs>
      <w:snapToGrid w:val="0"/>
      <w:jc w:val="center"/>
    </w:pPr>
    <w:rPr>
      <w:sz w:val="18"/>
      <w:szCs w:val="18"/>
    </w:rPr>
  </w:style>
  <w:style w:type="character" w:customStyle="1" w:styleId="9">
    <w:name w:val="标题 2 字符"/>
    <w:basedOn w:val="8"/>
    <w:link w:val="4"/>
    <w:semiHidden/>
    <w:qFormat/>
    <w:uiPriority w:val="9"/>
    <w:rPr>
      <w:rFonts w:ascii="Times New Roman" w:hAnsi="Times New Roman" w:eastAsia="宋体" w:cstheme="majorBidi"/>
      <w:b/>
      <w:bCs/>
      <w:sz w:val="32"/>
      <w:szCs w:val="32"/>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paragraph" w:styleId="12">
    <w:name w:val="List Paragraph"/>
    <w:basedOn w:val="1"/>
    <w:qFormat/>
    <w:uiPriority w:val="34"/>
    <w:pPr>
      <w:ind w:firstLine="420" w:firstLineChars="200"/>
    </w:pPr>
  </w:style>
  <w:style w:type="paragraph" w:customStyle="1" w:styleId="13">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4705</Words>
  <Characters>4769</Characters>
  <Lines>3</Lines>
  <Paragraphs>1</Paragraphs>
  <TotalTime>0</TotalTime>
  <ScaleCrop>false</ScaleCrop>
  <LinksUpToDate>false</LinksUpToDate>
  <CharactersWithSpaces>4897</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2024-03-20T19:51:00Z</dcterms:created>
  <dc:creator>衫 紫</dc:creator>
  <cp:lastModifiedBy>user</cp:lastModifiedBy>
  <cp:lastPrinted>2024-05-10T23:27:00Z</cp:lastPrinted>
  <dcterms:modified xsi:type="dcterms:W3CDTF">2024-11-08T10:13:45Z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