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textAlignment w:val="baseline"/>
        <w:rPr>
          <w:rFonts w:ascii="Calibri" w:hAnsi="Calibri" w:eastAsia="宋体" w:cs="黑体"/>
          <w:color w:val="auto"/>
          <w:spacing w:val="0"/>
        </w:rPr>
      </w:pPr>
    </w:p>
    <w:p>
      <w:pPr>
        <w:widowControl/>
        <w:textAlignment w:val="baseline"/>
        <w:rPr>
          <w:rFonts w:ascii="Calibri" w:hAnsi="Calibri" w:eastAsia="宋体" w:cs="黑体"/>
          <w:color w:val="auto"/>
          <w:spacing w:val="0"/>
        </w:rPr>
      </w:pPr>
    </w:p>
    <w:p>
      <w:pPr>
        <w:widowControl/>
        <w:textAlignment w:val="baseline"/>
        <w:rPr>
          <w:rFonts w:ascii="Calibri" w:hAnsi="Calibri" w:eastAsia="宋体" w:cs="黑体"/>
          <w:color w:val="auto"/>
          <w:spacing w:val="0"/>
        </w:rPr>
      </w:pPr>
    </w:p>
    <w:p>
      <w:pPr>
        <w:widowControl/>
        <w:textAlignment w:val="baseline"/>
        <w:rPr>
          <w:rFonts w:ascii="Calibri" w:hAnsi="Calibri" w:eastAsia="宋体" w:cs="黑体"/>
          <w:color w:val="auto"/>
          <w:spacing w:val="0"/>
        </w:rPr>
      </w:pPr>
    </w:p>
    <w:p>
      <w:pPr>
        <w:keepNext w:val="0"/>
        <w:keepLines w:val="0"/>
        <w:pageBreakBefore w:val="0"/>
        <w:widowControl/>
        <w:kinsoku/>
        <w:wordWrap/>
        <w:overflowPunct/>
        <w:topLinePunct w:val="0"/>
        <w:autoSpaceDE/>
        <w:autoSpaceDN/>
        <w:bidi w:val="0"/>
        <w:adjustRightInd w:val="0"/>
        <w:snapToGrid w:val="0"/>
        <w:spacing w:line="360" w:lineRule="auto"/>
        <w:jc w:val="center"/>
        <w:textAlignment w:val="baseline"/>
        <w:rPr>
          <w:rFonts w:hint="eastAsia" w:ascii="方正小标宋_GBK" w:hAnsi="方正小标宋_GBK" w:eastAsia="方正小标宋_GBK" w:cs="方正小标宋_GBK"/>
          <w:b w:val="0"/>
          <w:bCs w:val="0"/>
          <w:color w:val="auto"/>
          <w:spacing w:val="0"/>
          <w:sz w:val="44"/>
          <w:szCs w:val="44"/>
        </w:rPr>
      </w:pPr>
      <w:bookmarkStart w:id="0" w:name="_Toc472603635"/>
      <w:r>
        <w:rPr>
          <w:rFonts w:hint="eastAsia" w:ascii="方正小标宋_GBK" w:hAnsi="方正小标宋_GBK" w:eastAsia="方正小标宋_GBK" w:cs="方正小标宋_GBK"/>
          <w:b w:val="0"/>
          <w:bCs w:val="0"/>
          <w:color w:val="auto"/>
          <w:spacing w:val="0"/>
          <w:sz w:val="44"/>
          <w:szCs w:val="44"/>
        </w:rPr>
        <w:t>连州市教育发展“十四五”规划</w:t>
      </w:r>
      <w:bookmarkEnd w:id="0"/>
    </w:p>
    <w:p>
      <w:pPr>
        <w:widowControl/>
        <w:adjustRightInd w:val="0"/>
        <w:snapToGrid w:val="0"/>
        <w:spacing w:line="360" w:lineRule="auto"/>
        <w:ind w:firstLine="0" w:firstLineChars="0"/>
        <w:contextualSpacing w:val="0"/>
        <w:jc w:val="center"/>
        <w:textAlignment w:val="baseline"/>
        <w:rPr>
          <w:rFonts w:hint="eastAsia" w:ascii="方正小标宋_GBK" w:hAnsi="方正小标宋_GBK" w:eastAsia="方正小标宋_GBK" w:cs="方正小标宋_GBK"/>
          <w:color w:val="auto"/>
          <w:spacing w:val="0"/>
          <w:sz w:val="44"/>
          <w:szCs w:val="44"/>
          <w:lang w:val="en-US" w:eastAsia="zh-CN"/>
        </w:rPr>
      </w:pPr>
      <w:r>
        <w:rPr>
          <w:rFonts w:hint="eastAsia" w:ascii="方正小标宋_GBK" w:hAnsi="方正小标宋_GBK" w:eastAsia="方正小标宋_GBK" w:cs="方正小标宋_GBK"/>
          <w:b w:val="0"/>
          <w:bCs w:val="0"/>
          <w:color w:val="auto"/>
          <w:spacing w:val="0"/>
          <w:sz w:val="44"/>
          <w:szCs w:val="44"/>
        </w:rPr>
        <w:t>（2021</w:t>
      </w:r>
      <w:r>
        <w:rPr>
          <w:rFonts w:hint="eastAsia" w:ascii="方正小标宋_GBK" w:hAnsi="方正小标宋_GBK" w:eastAsia="方正小标宋_GBK" w:cs="方正小标宋_GBK"/>
          <w:b w:val="0"/>
          <w:bCs w:val="0"/>
          <w:color w:val="auto"/>
          <w:spacing w:val="0"/>
          <w:sz w:val="44"/>
          <w:szCs w:val="44"/>
          <w:lang w:eastAsia="zh-CN"/>
        </w:rPr>
        <w:t>—</w:t>
      </w:r>
      <w:r>
        <w:rPr>
          <w:rFonts w:hint="eastAsia" w:ascii="方正小标宋_GBK" w:hAnsi="方正小标宋_GBK" w:eastAsia="方正小标宋_GBK" w:cs="方正小标宋_GBK"/>
          <w:b w:val="0"/>
          <w:bCs w:val="0"/>
          <w:color w:val="auto"/>
          <w:spacing w:val="0"/>
          <w:sz w:val="44"/>
          <w:szCs w:val="44"/>
        </w:rPr>
        <w:t>2025年）</w:t>
      </w:r>
    </w:p>
    <w:p>
      <w:pPr>
        <w:tabs>
          <w:tab w:val="left" w:pos="6109"/>
        </w:tabs>
        <w:spacing w:line="240" w:lineRule="auto"/>
        <w:ind w:firstLine="0" w:firstLineChars="0"/>
        <w:contextualSpacing w:val="0"/>
        <w:jc w:val="left"/>
        <w:rPr>
          <w:rFonts w:ascii="仿宋_GB2312" w:hAnsi="仿宋_GB2312" w:eastAsia="仿宋_GB2312" w:cs="仿宋_GB2312"/>
          <w:color w:val="auto"/>
          <w:spacing w:val="0"/>
          <w:sz w:val="32"/>
          <w:szCs w:val="32"/>
          <w:highlight w:val="none"/>
        </w:rPr>
        <w:sectPr>
          <w:headerReference r:id="rId3" w:type="default"/>
          <w:footerReference r:id="rId4" w:type="default"/>
          <w:pgSz w:w="11906" w:h="16838"/>
          <w:pgMar w:top="2098" w:right="1474" w:bottom="1984" w:left="1587" w:header="851" w:footer="992" w:gutter="0"/>
          <w:pgNumType w:fmt="decimal" w:start="1"/>
          <w:cols w:space="0" w:num="1"/>
          <w:docGrid w:type="linesAndChars" w:linePitch="579" w:charSpace="-3629"/>
        </w:sectPr>
      </w:pPr>
      <w:r>
        <w:rPr>
          <w:rFonts w:hint="eastAsia"/>
          <w:spacing w:val="0"/>
          <w:sz w:val="20"/>
          <w:szCs w:val="22"/>
          <w:lang w:val="en-US" w:eastAsia="zh-CN"/>
        </w:rPr>
        <w:tab/>
      </w:r>
    </w:p>
    <w:p>
      <w:pPr>
        <w:widowControl/>
        <w:spacing w:line="240" w:lineRule="auto"/>
        <w:ind w:firstLine="0" w:firstLineChars="0"/>
        <w:contextualSpacing w:val="0"/>
        <w:jc w:val="left"/>
        <w:rPr>
          <w:rFonts w:ascii="仿宋_GB2312" w:hAnsi="仿宋_GB2312" w:eastAsia="仿宋_GB2312" w:cs="仿宋_GB2312"/>
          <w:color w:val="auto"/>
          <w:spacing w:val="0"/>
          <w:sz w:val="32"/>
          <w:szCs w:val="32"/>
          <w:highlight w:val="none"/>
        </w:rPr>
      </w:pPr>
    </w:p>
    <w:p>
      <w:pPr>
        <w:pStyle w:val="9"/>
        <w:keepNext w:val="0"/>
        <w:keepLines w:val="0"/>
        <w:pageBreakBefore w:val="0"/>
        <w:widowControl/>
        <w:tabs>
          <w:tab w:val="right" w:leader="dot" w:pos="8306"/>
          <w:tab w:val="clear" w:pos="8835"/>
        </w:tabs>
        <w:kinsoku/>
        <w:wordWrap/>
        <w:overflowPunct/>
        <w:topLinePunct w:val="0"/>
        <w:autoSpaceDE/>
        <w:autoSpaceDN/>
        <w:bidi w:val="0"/>
        <w:adjustRightInd/>
        <w:snapToGrid/>
        <w:spacing w:line="240" w:lineRule="auto"/>
        <w:jc w:val="center"/>
        <w:textAlignment w:val="baseline"/>
        <w:rPr>
          <w:rFonts w:hint="eastAsia" w:ascii="黑体" w:hAnsi="黑体" w:eastAsia="黑体" w:cs="黑体"/>
          <w:color w:val="auto"/>
          <w:spacing w:val="0"/>
          <w:sz w:val="44"/>
          <w:szCs w:val="44"/>
        </w:rPr>
      </w:pPr>
      <w:r>
        <w:rPr>
          <w:rFonts w:hint="eastAsia" w:ascii="黑体" w:hAnsi="黑体" w:eastAsia="黑体" w:cs="黑体"/>
          <w:color w:val="auto"/>
          <w:spacing w:val="0"/>
          <w:sz w:val="44"/>
          <w:szCs w:val="44"/>
        </w:rPr>
        <w:t>目录</w:t>
      </w:r>
    </w:p>
    <w:p>
      <w:pPr>
        <w:pStyle w:val="9"/>
        <w:keepNext w:val="0"/>
        <w:keepLines w:val="0"/>
        <w:pageBreakBefore w:val="0"/>
        <w:tabs>
          <w:tab w:val="right" w:leader="dot" w:pos="8260"/>
          <w:tab w:val="clear" w:pos="8835"/>
        </w:tabs>
        <w:kinsoku/>
        <w:wordWrap/>
        <w:overflowPunct/>
        <w:topLinePunct w:val="0"/>
        <w:autoSpaceDE/>
        <w:autoSpaceDN/>
        <w:bidi w:val="0"/>
        <w:adjustRightInd/>
        <w:snapToGrid/>
        <w:spacing w:line="240" w:lineRule="auto"/>
        <w:rPr>
          <w:rFonts w:hint="eastAsia" w:ascii="仿宋_GB2312" w:hAnsi="仿宋_GB2312" w:eastAsia="仿宋_GB2312" w:cs="仿宋_GB2312"/>
          <w:color w:val="auto"/>
          <w:spacing w:val="0"/>
          <w:sz w:val="28"/>
          <w:szCs w:val="28"/>
          <w:highlight w:val="none"/>
          <w:lang w:val="en-US" w:eastAsia="zh-CN"/>
        </w:rPr>
      </w:pPr>
      <w:r>
        <w:rPr>
          <w:rFonts w:hint="eastAsia" w:ascii="仿宋_GB2312" w:hAnsi="仿宋_GB2312" w:eastAsia="仿宋_GB2312" w:cs="仿宋_GB2312"/>
          <w:color w:val="auto"/>
          <w:spacing w:val="0"/>
          <w:sz w:val="28"/>
          <w:szCs w:val="28"/>
          <w:highlight w:val="none"/>
        </w:rPr>
        <w:fldChar w:fldCharType="begin"/>
      </w:r>
      <w:r>
        <w:rPr>
          <w:rFonts w:hint="eastAsia" w:ascii="仿宋_GB2312" w:hAnsi="仿宋_GB2312" w:eastAsia="仿宋_GB2312" w:cs="仿宋_GB2312"/>
          <w:color w:val="auto"/>
          <w:spacing w:val="0"/>
          <w:sz w:val="28"/>
          <w:szCs w:val="28"/>
          <w:highlight w:val="none"/>
        </w:rPr>
        <w:instrText xml:space="preserve"> TOC \o "1-3" \h \z \u </w:instrText>
      </w:r>
      <w:r>
        <w:rPr>
          <w:rFonts w:hint="eastAsia" w:ascii="仿宋_GB2312" w:hAnsi="仿宋_GB2312" w:eastAsia="仿宋_GB2312" w:cs="仿宋_GB2312"/>
          <w:color w:val="auto"/>
          <w:spacing w:val="0"/>
          <w:sz w:val="28"/>
          <w:szCs w:val="28"/>
          <w:highlight w:val="none"/>
        </w:rPr>
        <w:fldChar w:fldCharType="separate"/>
      </w: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HYPERLINK \l "_Toc124060243"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第一章  发展基础及面临形势</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PAGEREF _Toc124060243 \h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4</w:t>
      </w:r>
      <w:r>
        <w:rPr>
          <w:rFonts w:hint="eastAsia" w:ascii="宋体" w:hAnsi="宋体" w:eastAsia="宋体" w:cs="宋体"/>
          <w:b/>
          <w:bCs/>
          <w:color w:val="auto"/>
          <w:spacing w:val="0"/>
          <w:sz w:val="28"/>
          <w:szCs w:val="28"/>
        </w:rPr>
        <w:fldChar w:fldCharType="end"/>
      </w:r>
      <w:r>
        <w:rPr>
          <w:rFonts w:hint="eastAsia" w:ascii="宋体" w:hAnsi="宋体" w:eastAsia="宋体" w:cs="宋体"/>
          <w:b/>
          <w:bCs/>
          <w:color w:val="auto"/>
          <w:spacing w:val="0"/>
          <w:sz w:val="28"/>
          <w:szCs w:val="28"/>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lang w:val="en-US" w:eastAsia="zh-CN"/>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"_Toc124060244"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第一节  发展基础</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_Toc124060244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4</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仿宋_GB2312" w:hAnsi="仿宋_GB2312" w:eastAsia="仿宋_GB2312" w:cs="仿宋_GB2312"/>
          <w:color w:val="auto"/>
          <w:spacing w:val="0"/>
          <w:sz w:val="28"/>
          <w:szCs w:val="28"/>
          <w:highlight w:val="none"/>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"_Toc124060245"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第二节  主要挑战</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_Toc124060245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12</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9"/>
        <w:keepNext w:val="0"/>
        <w:keepLines w:val="0"/>
        <w:pageBreakBefore w:val="0"/>
        <w:tabs>
          <w:tab w:val="right" w:leader="dot" w:pos="8260"/>
          <w:tab w:val="clear" w:pos="8835"/>
        </w:tabs>
        <w:kinsoku/>
        <w:wordWrap/>
        <w:overflowPunct/>
        <w:topLinePunct w:val="0"/>
        <w:autoSpaceDE/>
        <w:autoSpaceDN/>
        <w:bidi w:val="0"/>
        <w:adjustRightInd/>
        <w:snapToGrid/>
        <w:spacing w:line="240" w:lineRule="auto"/>
        <w:rPr>
          <w:rFonts w:hint="eastAsia" w:ascii="仿宋_GB2312" w:hAnsi="仿宋_GB2312" w:eastAsia="宋体" w:cs="仿宋_GB2312"/>
          <w:color w:val="auto"/>
          <w:spacing w:val="0"/>
          <w:sz w:val="28"/>
          <w:szCs w:val="28"/>
          <w:highlight w:val="none"/>
          <w:lang w:val="en-US" w:eastAsia="zh-CN"/>
        </w:rPr>
      </w:pP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HYPERLINK \l "_Toc124060246"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第二章  指导思想与发展思路</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PAGEREF _Toc124060246 \h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14</w:t>
      </w:r>
      <w:r>
        <w:rPr>
          <w:rFonts w:hint="eastAsia" w:ascii="宋体" w:hAnsi="宋体" w:eastAsia="宋体" w:cs="宋体"/>
          <w:b/>
          <w:bCs/>
          <w:color w:val="auto"/>
          <w:spacing w:val="0"/>
          <w:sz w:val="28"/>
          <w:szCs w:val="28"/>
        </w:rPr>
        <w:fldChar w:fldCharType="end"/>
      </w:r>
      <w:r>
        <w:rPr>
          <w:rFonts w:hint="eastAsia" w:ascii="宋体" w:hAnsi="宋体" w:eastAsia="宋体" w:cs="宋体"/>
          <w:b/>
          <w:bCs/>
          <w:color w:val="auto"/>
          <w:spacing w:val="0"/>
          <w:sz w:val="28"/>
          <w:szCs w:val="28"/>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"_Toc124060247"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第一节  指导思想</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_Toc124060247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14</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"_Toc124060248"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第二节  发展原则</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_Toc124060248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15</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"_Toc124060249"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第三节  发展思路</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_Toc124060249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16</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仿宋_GB2312" w:hAnsi="仿宋_GB2312" w:eastAsia="仿宋_GB2312" w:cs="仿宋_GB2312"/>
          <w:color w:val="auto"/>
          <w:spacing w:val="0"/>
          <w:sz w:val="28"/>
          <w:szCs w:val="28"/>
          <w:highlight w:val="none"/>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"_Toc124060250"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第四节  发展目标</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_Toc124060250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17</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9"/>
        <w:keepNext w:val="0"/>
        <w:keepLines w:val="0"/>
        <w:pageBreakBefore w:val="0"/>
        <w:tabs>
          <w:tab w:val="right" w:leader="dot" w:pos="8260"/>
          <w:tab w:val="clear" w:pos="8835"/>
        </w:tabs>
        <w:kinsoku/>
        <w:wordWrap/>
        <w:overflowPunct/>
        <w:topLinePunct w:val="0"/>
        <w:autoSpaceDE/>
        <w:autoSpaceDN/>
        <w:bidi w:val="0"/>
        <w:adjustRightInd/>
        <w:snapToGrid/>
        <w:spacing w:line="240" w:lineRule="auto"/>
        <w:rPr>
          <w:rFonts w:hint="eastAsia" w:ascii="仿宋_GB2312" w:hAnsi="仿宋_GB2312" w:eastAsia="仿宋_GB2312" w:cs="仿宋_GB2312"/>
          <w:color w:val="auto"/>
          <w:spacing w:val="0"/>
          <w:sz w:val="28"/>
          <w:szCs w:val="28"/>
          <w:highlight w:val="none"/>
        </w:rPr>
      </w:pPr>
      <w:r>
        <w:rPr>
          <w:rFonts w:hint="eastAsia" w:ascii="仿宋_GB2312" w:hAnsi="仿宋_GB2312" w:eastAsia="仿宋_GB2312" w:cs="仿宋_GB2312"/>
          <w:color w:val="auto"/>
          <w:spacing w:val="0"/>
          <w:sz w:val="28"/>
          <w:szCs w:val="28"/>
          <w:highlight w:val="none"/>
        </w:rPr>
        <w:fldChar w:fldCharType="begin"/>
      </w:r>
      <w:r>
        <w:rPr>
          <w:rFonts w:hint="eastAsia" w:ascii="仿宋_GB2312" w:hAnsi="仿宋_GB2312" w:eastAsia="仿宋_GB2312" w:cs="仿宋_GB2312"/>
          <w:color w:val="auto"/>
          <w:spacing w:val="0"/>
          <w:sz w:val="28"/>
          <w:szCs w:val="28"/>
          <w:highlight w:val="none"/>
        </w:rPr>
        <w:instrText xml:space="preserve"> HYPERLINK \l "_Toc124060251" </w:instrText>
      </w:r>
      <w:r>
        <w:rPr>
          <w:rFonts w:hint="eastAsia" w:ascii="仿宋_GB2312" w:hAnsi="仿宋_GB2312" w:eastAsia="仿宋_GB2312" w:cs="仿宋_GB2312"/>
          <w:color w:val="auto"/>
          <w:spacing w:val="0"/>
          <w:sz w:val="28"/>
          <w:szCs w:val="28"/>
          <w:highlight w:val="none"/>
        </w:rPr>
        <w:fldChar w:fldCharType="separate"/>
      </w:r>
      <w:r>
        <w:rPr>
          <w:rFonts w:hint="eastAsia" w:ascii="宋体" w:hAnsi="宋体" w:eastAsia="宋体" w:cs="宋体"/>
          <w:b/>
          <w:bCs/>
          <w:color w:val="auto"/>
          <w:spacing w:val="0"/>
          <w:sz w:val="28"/>
          <w:szCs w:val="28"/>
        </w:rPr>
        <w:t>第三章  全面落实立德树人的根本任务</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PAGEREF _Toc124060251 \h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21</w:t>
      </w:r>
      <w:r>
        <w:rPr>
          <w:rFonts w:hint="eastAsia" w:ascii="宋体" w:hAnsi="宋体" w:eastAsia="宋体" w:cs="宋体"/>
          <w:b/>
          <w:bCs/>
          <w:color w:val="auto"/>
          <w:spacing w:val="0"/>
          <w:sz w:val="28"/>
          <w:szCs w:val="28"/>
        </w:rPr>
        <w:fldChar w:fldCharType="end"/>
      </w:r>
      <w:r>
        <w:rPr>
          <w:rFonts w:hint="eastAsia" w:ascii="仿宋_GB2312" w:hAnsi="仿宋_GB2312" w:eastAsia="仿宋_GB2312" w:cs="仿宋_GB2312"/>
          <w:color w:val="auto"/>
          <w:spacing w:val="0"/>
          <w:sz w:val="28"/>
          <w:szCs w:val="28"/>
          <w:highlight w:val="none"/>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"_Toc124060252"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第一节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全面加强党对教育的领导</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_Toc124060252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21</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仿宋_GB2312" w:hAnsi="仿宋_GB2312" w:eastAsia="仿宋_GB2312" w:cs="仿宋_GB2312"/>
          <w:color w:val="auto"/>
          <w:spacing w:val="0"/>
          <w:sz w:val="28"/>
          <w:szCs w:val="28"/>
          <w:highlight w:val="none"/>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"_Toc124060253"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第二节  立德树人，全面加强全体师生的政治思想教育</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_Toc124060253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22</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9"/>
        <w:keepNext w:val="0"/>
        <w:keepLines w:val="0"/>
        <w:pageBreakBefore w:val="0"/>
        <w:tabs>
          <w:tab w:val="right" w:leader="dot" w:pos="8260"/>
          <w:tab w:val="clear" w:pos="8835"/>
        </w:tabs>
        <w:kinsoku/>
        <w:wordWrap/>
        <w:overflowPunct/>
        <w:topLinePunct w:val="0"/>
        <w:autoSpaceDE/>
        <w:autoSpaceDN/>
        <w:bidi w:val="0"/>
        <w:adjustRightInd/>
        <w:snapToGrid/>
        <w:spacing w:line="240" w:lineRule="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HYPERLINK \l "_Toc124060254"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第四章  全面推进教育高质量发展</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PAGEREF _Toc124060254 \h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26</w:t>
      </w:r>
      <w:r>
        <w:rPr>
          <w:rFonts w:hint="eastAsia" w:ascii="宋体" w:hAnsi="宋体" w:eastAsia="宋体" w:cs="宋体"/>
          <w:b/>
          <w:bCs/>
          <w:color w:val="auto"/>
          <w:spacing w:val="0"/>
          <w:sz w:val="28"/>
          <w:szCs w:val="28"/>
        </w:rPr>
        <w:fldChar w:fldCharType="end"/>
      </w:r>
      <w:r>
        <w:rPr>
          <w:rFonts w:hint="eastAsia" w:ascii="宋体" w:hAnsi="宋体" w:eastAsia="宋体" w:cs="宋体"/>
          <w:b/>
          <w:bCs/>
          <w:color w:val="auto"/>
          <w:spacing w:val="0"/>
          <w:sz w:val="28"/>
          <w:szCs w:val="28"/>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"_Toc124060255"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第一节  坚持普及普惠优质，大力发展学前教育</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_Toc124060255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26</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"_Toc124060256"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第二节</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 xml:space="preserve"> 提升城乡一体化水平，促进义务教育优质均衡发展</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_Toc124060256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27</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"_Toc124060257"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第三节  重特色强质量，全面提升普通高中教育水平</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_Toc124060257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31</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"_Toc124060258"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第四节  </w:t>
      </w:r>
      <w:r>
        <w:rPr>
          <w:rFonts w:hint="eastAsia" w:ascii="Calibri" w:hAnsi="Calibri" w:eastAsia="宋体" w:cs="黑体"/>
          <w:color w:val="auto"/>
          <w:spacing w:val="0"/>
          <w:w w:val="100"/>
          <w:sz w:val="28"/>
          <w:szCs w:val="24"/>
        </w:rPr>
        <w:t>实施扩容提质强服务，提升职业教育服务发展的能力</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_Toc124060258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34</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"_Toc124060259"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第五节  完善终身教育体系，建设学习型社会</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_Toc124060259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37</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"_Toc124060260"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第六节  建设高素质专业化教师队伍，推动教育高质量发展</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_Toc124060260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41</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"_Toc124060261"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第七节  实施科研促教战略，提高教育教学质量</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_Toc124060261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48</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仿宋_GB2312" w:hAnsi="仿宋_GB2312" w:eastAsia="仿宋_GB2312" w:cs="仿宋_GB2312"/>
          <w:color w:val="auto"/>
          <w:spacing w:val="0"/>
          <w:sz w:val="28"/>
          <w:szCs w:val="28"/>
          <w:highlight w:val="none"/>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"_Toc124060262"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第八节  提高教育信息化水平，实施教育“数字提速”</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_Toc124060262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53</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9"/>
        <w:keepNext w:val="0"/>
        <w:keepLines w:val="0"/>
        <w:pageBreakBefore w:val="0"/>
        <w:tabs>
          <w:tab w:val="right" w:leader="dot" w:pos="8260"/>
          <w:tab w:val="clear" w:pos="8835"/>
        </w:tabs>
        <w:kinsoku/>
        <w:wordWrap/>
        <w:overflowPunct/>
        <w:topLinePunct w:val="0"/>
        <w:autoSpaceDE/>
        <w:autoSpaceDN/>
        <w:bidi w:val="0"/>
        <w:adjustRightInd/>
        <w:snapToGrid/>
        <w:spacing w:line="240" w:lineRule="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HYPERLINK \l "_Toc124060263"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第五章  完善治理体系和提升治理能力，实现教育治理现代化</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PAGEREF _Toc124060263 \h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57</w:t>
      </w:r>
      <w:r>
        <w:rPr>
          <w:rFonts w:hint="eastAsia" w:ascii="宋体" w:hAnsi="宋体" w:eastAsia="宋体" w:cs="宋体"/>
          <w:b/>
          <w:bCs/>
          <w:color w:val="auto"/>
          <w:spacing w:val="0"/>
          <w:sz w:val="28"/>
          <w:szCs w:val="28"/>
        </w:rPr>
        <w:fldChar w:fldCharType="end"/>
      </w:r>
      <w:r>
        <w:rPr>
          <w:rFonts w:hint="eastAsia" w:ascii="宋体" w:hAnsi="宋体" w:eastAsia="宋体" w:cs="宋体"/>
          <w:b/>
          <w:bCs/>
          <w:color w:val="auto"/>
          <w:spacing w:val="0"/>
          <w:sz w:val="28"/>
          <w:szCs w:val="28"/>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"_Toc124060264"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第一节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加强政府统筹力度，完善多元化治理格局</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_Toc124060264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57</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"_Toc124060265"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第二节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深化改革，促进教育可持续发展</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_Toc124060265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58</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"_Toc124060266"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第三节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振兴乡村教育，发挥教育在乡村振兴的先行作用</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_Toc124060266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60</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"_Toc124060267"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第四节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开展平安校园建设，保障校园安全稳定</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_Toc124060267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61</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"_Toc124060268"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第五节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健全教育质量评价，完善督导评估制度</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_Toc124060268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61</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仿宋_GB2312" w:hAnsi="仿宋_GB2312" w:eastAsia="仿宋_GB2312" w:cs="仿宋_GB2312"/>
          <w:color w:val="auto"/>
          <w:spacing w:val="0"/>
          <w:sz w:val="28"/>
          <w:szCs w:val="28"/>
          <w:highlight w:val="none"/>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"_Toc124060269"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第六节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加强交流合作，助推优质教育资源入连</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_Toc124060269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62</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9"/>
        <w:keepNext w:val="0"/>
        <w:keepLines w:val="0"/>
        <w:pageBreakBefore w:val="0"/>
        <w:tabs>
          <w:tab w:val="right" w:leader="dot" w:pos="8260"/>
          <w:tab w:val="clear" w:pos="8835"/>
        </w:tabs>
        <w:kinsoku/>
        <w:wordWrap/>
        <w:overflowPunct/>
        <w:topLinePunct w:val="0"/>
        <w:autoSpaceDE/>
        <w:autoSpaceDN/>
        <w:bidi w:val="0"/>
        <w:adjustRightInd/>
        <w:snapToGrid/>
        <w:spacing w:line="240" w:lineRule="auto"/>
        <w:rPr>
          <w:rFonts w:hint="eastAsia" w:ascii="宋体" w:hAnsi="宋体" w:eastAsia="宋体" w:cs="宋体"/>
          <w:b/>
          <w:bCs/>
          <w:color w:val="auto"/>
          <w:spacing w:val="0"/>
          <w:sz w:val="28"/>
          <w:szCs w:val="28"/>
        </w:rPr>
      </w:pP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HYPERLINK \l "_Toc124060270"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第六章  保障措施</w:t>
      </w:r>
      <w:r>
        <w:rPr>
          <w:rFonts w:hint="eastAsia" w:ascii="宋体" w:hAnsi="宋体" w:eastAsia="宋体" w:cs="宋体"/>
          <w:b/>
          <w:bCs/>
          <w:color w:val="auto"/>
          <w:spacing w:val="0"/>
          <w:sz w:val="28"/>
          <w:szCs w:val="28"/>
        </w:rPr>
        <w:tab/>
      </w:r>
      <w:r>
        <w:rPr>
          <w:rFonts w:hint="eastAsia" w:ascii="宋体" w:hAnsi="宋体" w:eastAsia="宋体" w:cs="宋体"/>
          <w:b/>
          <w:bCs/>
          <w:color w:val="auto"/>
          <w:spacing w:val="0"/>
          <w:sz w:val="28"/>
          <w:szCs w:val="28"/>
        </w:rPr>
        <w:fldChar w:fldCharType="begin"/>
      </w:r>
      <w:r>
        <w:rPr>
          <w:rFonts w:hint="eastAsia" w:ascii="宋体" w:hAnsi="宋体" w:eastAsia="宋体" w:cs="宋体"/>
          <w:b/>
          <w:bCs/>
          <w:color w:val="auto"/>
          <w:spacing w:val="0"/>
          <w:sz w:val="28"/>
          <w:szCs w:val="28"/>
        </w:rPr>
        <w:instrText xml:space="preserve"> PAGEREF _Toc124060270 \h </w:instrText>
      </w:r>
      <w:r>
        <w:rPr>
          <w:rFonts w:hint="eastAsia" w:ascii="宋体" w:hAnsi="宋体" w:eastAsia="宋体" w:cs="宋体"/>
          <w:b/>
          <w:bCs/>
          <w:color w:val="auto"/>
          <w:spacing w:val="0"/>
          <w:sz w:val="28"/>
          <w:szCs w:val="28"/>
        </w:rPr>
        <w:fldChar w:fldCharType="separate"/>
      </w:r>
      <w:r>
        <w:rPr>
          <w:rFonts w:hint="eastAsia" w:ascii="宋体" w:hAnsi="宋体" w:eastAsia="宋体" w:cs="宋体"/>
          <w:b/>
          <w:bCs/>
          <w:color w:val="auto"/>
          <w:spacing w:val="0"/>
          <w:sz w:val="28"/>
          <w:szCs w:val="28"/>
        </w:rPr>
        <w:t>65</w:t>
      </w:r>
      <w:r>
        <w:rPr>
          <w:rFonts w:hint="eastAsia" w:ascii="宋体" w:hAnsi="宋体" w:eastAsia="宋体" w:cs="宋体"/>
          <w:b/>
          <w:bCs/>
          <w:color w:val="auto"/>
          <w:spacing w:val="0"/>
          <w:sz w:val="28"/>
          <w:szCs w:val="28"/>
        </w:rPr>
        <w:fldChar w:fldCharType="end"/>
      </w:r>
      <w:r>
        <w:rPr>
          <w:rFonts w:hint="eastAsia" w:ascii="宋体" w:hAnsi="宋体" w:eastAsia="宋体" w:cs="宋体"/>
          <w:b/>
          <w:bCs/>
          <w:color w:val="auto"/>
          <w:spacing w:val="0"/>
          <w:sz w:val="28"/>
          <w:szCs w:val="28"/>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"_Toc124060271"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第一节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加强党对教育工作的领导，强化组织保障</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_Toc124060271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65</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"_Toc124060272"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第二节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深化教育改革，强化机制保障</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_Toc124060272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66</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Calibri" w:hAnsi="Calibri" w:eastAsia="宋体" w:cs="黑体"/>
          <w:color w:val="auto"/>
          <w:spacing w:val="0"/>
          <w:sz w:val="28"/>
          <w:szCs w:val="24"/>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"_Toc124060273"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第三节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提高投入效益，强化经费保障</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_Toc124060273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67</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pStyle w:val="10"/>
        <w:keepNext w:val="0"/>
        <w:keepLines w:val="0"/>
        <w:pageBreakBefore w:val="0"/>
        <w:widowControl/>
        <w:tabs>
          <w:tab w:val="right" w:leader="dot" w:pos="8260"/>
          <w:tab w:val="clear" w:pos="8290"/>
        </w:tabs>
        <w:kinsoku/>
        <w:wordWrap/>
        <w:overflowPunct/>
        <w:topLinePunct w:val="0"/>
        <w:autoSpaceDE/>
        <w:autoSpaceDN/>
        <w:bidi w:val="0"/>
        <w:adjustRightInd/>
        <w:snapToGrid/>
        <w:spacing w:line="240" w:lineRule="auto"/>
        <w:ind w:left="386" w:leftChars="200"/>
        <w:jc w:val="left"/>
        <w:textAlignment w:val="baseline"/>
        <w:rPr>
          <w:rFonts w:hint="eastAsia" w:ascii="仿宋_GB2312" w:hAnsi="仿宋_GB2312" w:eastAsia="仿宋_GB2312" w:cs="仿宋_GB2312"/>
          <w:color w:val="auto"/>
          <w:spacing w:val="0"/>
          <w:sz w:val="28"/>
          <w:szCs w:val="28"/>
          <w:highlight w:val="none"/>
        </w:rPr>
      </w:pP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HYPERLINK \l "_Toc124060274"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 xml:space="preserve">第四节 </w:t>
      </w:r>
      <w:r>
        <w:rPr>
          <w:rFonts w:hint="eastAsia" w:ascii="Calibri" w:hAnsi="Calibri" w:eastAsia="宋体" w:cs="黑体"/>
          <w:color w:val="auto"/>
          <w:spacing w:val="0"/>
          <w:sz w:val="28"/>
          <w:szCs w:val="24"/>
          <w:lang w:val="en-US" w:eastAsia="zh-CN"/>
        </w:rPr>
        <w:t xml:space="preserve"> </w:t>
      </w:r>
      <w:r>
        <w:rPr>
          <w:rFonts w:hint="eastAsia" w:ascii="Calibri" w:hAnsi="Calibri" w:eastAsia="宋体" w:cs="黑体"/>
          <w:color w:val="auto"/>
          <w:spacing w:val="0"/>
          <w:sz w:val="28"/>
          <w:szCs w:val="24"/>
        </w:rPr>
        <w:t>健全教育质量评价，完善督导保障</w:t>
      </w:r>
      <w:r>
        <w:rPr>
          <w:rFonts w:hint="eastAsia" w:ascii="Calibri" w:hAnsi="Calibri" w:eastAsia="宋体" w:cs="黑体"/>
          <w:color w:val="auto"/>
          <w:spacing w:val="0"/>
          <w:sz w:val="28"/>
          <w:szCs w:val="24"/>
        </w:rPr>
        <w:tab/>
      </w:r>
      <w:r>
        <w:rPr>
          <w:rFonts w:hint="eastAsia" w:ascii="Calibri" w:hAnsi="Calibri" w:eastAsia="宋体" w:cs="黑体"/>
          <w:color w:val="auto"/>
          <w:spacing w:val="0"/>
          <w:sz w:val="28"/>
          <w:szCs w:val="24"/>
        </w:rPr>
        <w:fldChar w:fldCharType="begin"/>
      </w:r>
      <w:r>
        <w:rPr>
          <w:rFonts w:hint="eastAsia" w:ascii="Calibri" w:hAnsi="Calibri" w:eastAsia="宋体" w:cs="黑体"/>
          <w:color w:val="auto"/>
          <w:spacing w:val="0"/>
          <w:sz w:val="28"/>
          <w:szCs w:val="24"/>
        </w:rPr>
        <w:instrText xml:space="preserve"> PAGEREF _Toc124060274 \h </w:instrText>
      </w:r>
      <w:r>
        <w:rPr>
          <w:rFonts w:hint="eastAsia" w:ascii="Calibri" w:hAnsi="Calibri" w:eastAsia="宋体" w:cs="黑体"/>
          <w:color w:val="auto"/>
          <w:spacing w:val="0"/>
          <w:sz w:val="28"/>
          <w:szCs w:val="24"/>
        </w:rPr>
        <w:fldChar w:fldCharType="separate"/>
      </w:r>
      <w:r>
        <w:rPr>
          <w:rFonts w:hint="eastAsia" w:ascii="Calibri" w:hAnsi="Calibri" w:eastAsia="宋体" w:cs="黑体"/>
          <w:color w:val="auto"/>
          <w:spacing w:val="0"/>
          <w:sz w:val="28"/>
          <w:szCs w:val="24"/>
        </w:rPr>
        <w:t>67</w:t>
      </w:r>
      <w:r>
        <w:rPr>
          <w:rFonts w:hint="eastAsia" w:ascii="Calibri" w:hAnsi="Calibri" w:eastAsia="宋体" w:cs="黑体"/>
          <w:color w:val="auto"/>
          <w:spacing w:val="0"/>
          <w:sz w:val="28"/>
          <w:szCs w:val="24"/>
        </w:rPr>
        <w:fldChar w:fldCharType="end"/>
      </w:r>
      <w:r>
        <w:rPr>
          <w:rFonts w:hint="eastAsia" w:ascii="Calibri" w:hAnsi="Calibri" w:eastAsia="宋体" w:cs="黑体"/>
          <w:color w:val="auto"/>
          <w:spacing w:val="0"/>
          <w:sz w:val="28"/>
          <w:szCs w:val="24"/>
        </w:rPr>
        <w:fldChar w:fldCharType="end"/>
      </w:r>
    </w:p>
    <w:p>
      <w:pPr>
        <w:keepNext w:val="0"/>
        <w:keepLines w:val="0"/>
        <w:pageBreakBefore w:val="0"/>
        <w:kinsoku/>
        <w:wordWrap/>
        <w:overflowPunct/>
        <w:topLinePunct w:val="0"/>
        <w:autoSpaceDE/>
        <w:autoSpaceDN/>
        <w:bidi w:val="0"/>
        <w:adjustRightInd/>
        <w:snapToGrid/>
        <w:spacing w:line="240" w:lineRule="auto"/>
        <w:ind w:firstLine="0" w:firstLineChars="0"/>
        <w:contextualSpacing/>
        <w:rPr>
          <w:rFonts w:hint="eastAsia" w:ascii="Calibri" w:hAnsi="Calibri" w:eastAsia="宋体" w:cs="黑体"/>
          <w:b/>
          <w:bCs/>
          <w:color w:val="auto"/>
          <w:spacing w:val="0"/>
          <w:sz w:val="28"/>
          <w:szCs w:val="24"/>
        </w:rPr>
      </w:pPr>
      <w:r>
        <w:rPr>
          <w:rFonts w:hint="eastAsia" w:ascii="仿宋_GB2312" w:hAnsi="仿宋_GB2312" w:eastAsia="仿宋_GB2312" w:cs="仿宋_GB2312"/>
          <w:b/>
          <w:bCs/>
          <w:color w:val="auto"/>
          <w:spacing w:val="0"/>
          <w:sz w:val="28"/>
          <w:szCs w:val="28"/>
          <w:highlight w:val="none"/>
          <w:lang w:val="zh-CN"/>
        </w:rPr>
        <w:fldChar w:fldCharType="end"/>
      </w:r>
    </w:p>
    <w:p>
      <w:pPr>
        <w:spacing w:line="560" w:lineRule="exact"/>
        <w:ind w:firstLine="0" w:firstLineChars="0"/>
        <w:contextualSpacing/>
        <w:rPr>
          <w:rFonts w:hint="eastAsia" w:ascii="Calibri" w:hAnsi="Calibri" w:eastAsia="宋体" w:cs="黑体"/>
          <w:b/>
          <w:bCs/>
          <w:color w:val="auto"/>
          <w:spacing w:val="0"/>
          <w:sz w:val="28"/>
          <w:szCs w:val="24"/>
        </w:rPr>
      </w:pPr>
      <w:r>
        <w:rPr>
          <w:rFonts w:hint="eastAsia" w:ascii="Calibri" w:hAnsi="Calibri" w:eastAsia="宋体" w:cs="黑体"/>
          <w:b/>
          <w:bCs/>
          <w:color w:val="auto"/>
          <w:spacing w:val="0"/>
          <w:sz w:val="28"/>
          <w:szCs w:val="24"/>
        </w:rPr>
        <w:t>附件</w:t>
      </w:r>
      <w:r>
        <w:rPr>
          <w:rFonts w:hint="eastAsia" w:ascii="Calibri" w:hAnsi="Calibri" w:eastAsia="宋体" w:cs="黑体"/>
          <w:b/>
          <w:bCs/>
          <w:color w:val="auto"/>
          <w:spacing w:val="0"/>
          <w:sz w:val="28"/>
          <w:szCs w:val="24"/>
          <w:lang w:eastAsia="zh-CN"/>
        </w:rPr>
        <w:t>：</w:t>
      </w:r>
      <w:r>
        <w:rPr>
          <w:rFonts w:hint="eastAsia" w:ascii="Calibri" w:hAnsi="Calibri" w:eastAsia="宋体" w:cs="黑体"/>
          <w:b/>
          <w:bCs/>
          <w:color w:val="auto"/>
          <w:spacing w:val="0"/>
          <w:sz w:val="28"/>
          <w:szCs w:val="24"/>
        </w:rPr>
        <w:t>1</w:t>
      </w:r>
      <w:r>
        <w:rPr>
          <w:rFonts w:hint="eastAsia" w:ascii="Calibri" w:hAnsi="Calibri" w:eastAsia="宋体" w:cs="黑体"/>
          <w:b/>
          <w:bCs/>
          <w:color w:val="auto"/>
          <w:spacing w:val="0"/>
          <w:sz w:val="28"/>
          <w:szCs w:val="24"/>
          <w:lang w:val="en-US" w:eastAsia="zh-CN"/>
        </w:rPr>
        <w:t>.</w:t>
      </w:r>
      <w:r>
        <w:rPr>
          <w:rFonts w:hint="eastAsia" w:ascii="Calibri" w:hAnsi="Calibri" w:eastAsia="宋体" w:cs="黑体"/>
          <w:b/>
          <w:bCs/>
          <w:color w:val="auto"/>
          <w:spacing w:val="0"/>
          <w:sz w:val="28"/>
          <w:szCs w:val="24"/>
        </w:rPr>
        <w:t>连州市教育质量提升发展行动计划</w:t>
      </w:r>
    </w:p>
    <w:p>
      <w:pPr>
        <w:numPr>
          <w:ilvl w:val="0"/>
          <w:numId w:val="0"/>
        </w:numPr>
        <w:spacing w:line="560" w:lineRule="exact"/>
        <w:ind w:firstLine="789" w:firstLineChars="300"/>
        <w:contextualSpacing/>
        <w:rPr>
          <w:rFonts w:hint="eastAsia" w:ascii="Calibri" w:hAnsi="Calibri" w:eastAsia="宋体" w:cs="黑体"/>
          <w:b/>
          <w:bCs/>
          <w:color w:val="auto"/>
          <w:spacing w:val="0"/>
          <w:sz w:val="28"/>
          <w:szCs w:val="24"/>
        </w:rPr>
      </w:pPr>
      <w:r>
        <w:rPr>
          <w:rFonts w:hint="eastAsia" w:ascii="Calibri" w:hAnsi="Calibri" w:eastAsia="宋体" w:cs="黑体"/>
          <w:b/>
          <w:bCs/>
          <w:color w:val="auto"/>
          <w:spacing w:val="0"/>
          <w:sz w:val="28"/>
          <w:szCs w:val="24"/>
          <w:lang w:val="en-US" w:eastAsia="zh-CN"/>
        </w:rPr>
        <w:t>2.</w:t>
      </w:r>
      <w:r>
        <w:rPr>
          <w:rFonts w:hint="eastAsia" w:ascii="Calibri" w:hAnsi="Calibri" w:eastAsia="宋体" w:cs="黑体"/>
          <w:b/>
          <w:bCs/>
          <w:color w:val="auto"/>
          <w:spacing w:val="0"/>
          <w:sz w:val="28"/>
          <w:szCs w:val="24"/>
        </w:rPr>
        <w:t>连州市教育“十四五”规划重大项目表</w:t>
      </w:r>
    </w:p>
    <w:p>
      <w:pPr>
        <w:numPr>
          <w:ilvl w:val="0"/>
          <w:numId w:val="0"/>
        </w:numPr>
        <w:spacing w:line="560" w:lineRule="exact"/>
        <w:ind w:firstLine="789" w:firstLineChars="300"/>
        <w:contextualSpacing/>
        <w:rPr>
          <w:rFonts w:hint="eastAsia" w:ascii="Calibri" w:hAnsi="Calibri" w:eastAsia="宋体" w:cs="黑体"/>
          <w:b/>
          <w:bCs/>
          <w:color w:val="auto"/>
          <w:spacing w:val="0"/>
          <w:sz w:val="28"/>
          <w:szCs w:val="24"/>
        </w:rPr>
        <w:sectPr>
          <w:footerReference r:id="rId5" w:type="default"/>
          <w:pgSz w:w="11906" w:h="16838"/>
          <w:pgMar w:top="1440" w:right="1803" w:bottom="1440" w:left="1803" w:header="851" w:footer="992" w:gutter="0"/>
          <w:pgNumType w:fmt="decimal"/>
          <w:cols w:space="0" w:num="1"/>
          <w:docGrid w:type="linesAndChars" w:linePitch="579" w:charSpace="-3629"/>
        </w:sectPr>
      </w:pPr>
    </w:p>
    <w:p>
      <w:pPr>
        <w:keepNext w:val="0"/>
        <w:keepLines w:val="0"/>
        <w:pageBreakBefore w:val="0"/>
        <w:widowControl w:val="0"/>
        <w:kinsoku/>
        <w:wordWrap/>
        <w:overflowPunct/>
        <w:topLinePunct w:val="0"/>
        <w:autoSpaceDE/>
        <w:autoSpaceDN/>
        <w:bidi w:val="0"/>
        <w:adjustRightInd/>
        <w:snapToGrid/>
        <w:spacing w:line="560" w:lineRule="exact"/>
        <w:ind w:firstLine="709" w:firstLineChars="234"/>
        <w:jc w:val="both"/>
        <w:textAlignment w:val="auto"/>
        <w:rPr>
          <w:rFonts w:ascii="仿宋_GB2312" w:hAnsi="仿宋_GB2312" w:eastAsia="仿宋_GB2312" w:cs="仿宋_GB2312"/>
          <w:color w:val="auto"/>
          <w:spacing w:val="0"/>
          <w:sz w:val="32"/>
          <w:szCs w:val="32"/>
          <w:highlight w:val="none"/>
        </w:rPr>
      </w:pPr>
      <w:bookmarkStart w:id="1" w:name="_Toc20393"/>
      <w:r>
        <w:rPr>
          <w:rFonts w:hint="eastAsia" w:ascii="仿宋_GB2312" w:hAnsi="仿宋_GB2312" w:eastAsia="仿宋_GB2312" w:cs="仿宋_GB2312"/>
          <w:color w:val="auto"/>
          <w:spacing w:val="0"/>
          <w:sz w:val="32"/>
          <w:szCs w:val="32"/>
          <w:highlight w:val="none"/>
        </w:rPr>
        <w:t>为全面贯彻落实教育优先发展战略，率先实现教育现代化，根据《中共连州市委关于制定连州市国民经济和社会发展第十四个五年规划和二〇三五年远景目标的建议》</w:t>
      </w:r>
      <w:r>
        <w:rPr>
          <w:rFonts w:hint="eastAsia" w:ascii="仿宋_GB2312" w:hAnsi="仿宋_GB2312" w:eastAsia="仿宋_GB2312" w:cs="仿宋_GB2312"/>
          <w:color w:val="auto"/>
          <w:spacing w:val="0"/>
          <w:sz w:val="32"/>
          <w:szCs w:val="32"/>
          <w:highlight w:val="none"/>
          <w:lang w:eastAsia="zh-CN"/>
        </w:rPr>
        <w:t>（连委发〔2021〕</w:t>
      </w:r>
      <w:r>
        <w:rPr>
          <w:rFonts w:hint="eastAsia" w:ascii="仿宋_GB2312" w:hAnsi="仿宋_GB2312" w:eastAsia="仿宋_GB2312" w:cs="仿宋_GB2312"/>
          <w:color w:val="auto"/>
          <w:spacing w:val="0"/>
          <w:sz w:val="32"/>
          <w:szCs w:val="32"/>
          <w:highlight w:val="none"/>
          <w:lang w:val="en-US" w:eastAsia="zh-CN"/>
        </w:rPr>
        <w:t>1</w:t>
      </w:r>
      <w:r>
        <w:rPr>
          <w:rFonts w:hint="eastAsia" w:ascii="仿宋_GB2312" w:hAnsi="仿宋_GB2312" w:eastAsia="仿宋_GB2312" w:cs="仿宋_GB2312"/>
          <w:color w:val="auto"/>
          <w:spacing w:val="0"/>
          <w:sz w:val="32"/>
          <w:szCs w:val="32"/>
          <w:highlight w:val="none"/>
          <w:lang w:eastAsia="zh-CN"/>
        </w:rPr>
        <w:t>号）、</w:t>
      </w:r>
      <w:r>
        <w:rPr>
          <w:rFonts w:hint="eastAsia" w:ascii="仿宋_GB2312" w:hAnsi="仿宋_GB2312" w:eastAsia="仿宋_GB2312" w:cs="仿宋_GB2312"/>
          <w:color w:val="auto"/>
          <w:spacing w:val="0"/>
          <w:sz w:val="32"/>
          <w:szCs w:val="32"/>
          <w:highlight w:val="none"/>
        </w:rPr>
        <w:t>《连州市国民经济和社会发展第十四个五年规划和2035年远景目标纲要》</w:t>
      </w:r>
      <w:r>
        <w:rPr>
          <w:rFonts w:hint="eastAsia" w:ascii="仿宋_GB2312" w:hAnsi="仿宋_GB2312" w:eastAsia="仿宋_GB2312" w:cs="仿宋_GB2312"/>
          <w:color w:val="auto"/>
          <w:spacing w:val="0"/>
          <w:sz w:val="32"/>
          <w:szCs w:val="32"/>
          <w:highlight w:val="none"/>
          <w:lang w:eastAsia="zh-CN"/>
        </w:rPr>
        <w:t>（连府〔2021〕8号）、清远市人民政府关于印发《清远市教育发展“十四五”规划（2021—2025年）》的通知（清府函〔2022〕167号）</w:t>
      </w:r>
      <w:r>
        <w:rPr>
          <w:rFonts w:hint="eastAsia" w:ascii="仿宋_GB2312" w:hAnsi="仿宋_GB2312" w:eastAsia="仿宋_GB2312" w:cs="仿宋_GB2312"/>
          <w:color w:val="auto"/>
          <w:spacing w:val="0"/>
          <w:sz w:val="32"/>
          <w:szCs w:val="32"/>
          <w:highlight w:val="none"/>
        </w:rPr>
        <w:t>，结合连州市教育发展实际情况，特制定本规划。</w:t>
      </w:r>
      <w:bookmarkEnd w:id="1"/>
    </w:p>
    <w:p>
      <w:pPr>
        <w:pStyle w:val="2"/>
        <w:keepNext w:val="0"/>
        <w:keepLines w:val="0"/>
        <w:pageBreakBefore w:val="0"/>
        <w:widowControl/>
        <w:kinsoku/>
        <w:wordWrap/>
        <w:overflowPunct/>
        <w:topLinePunct w:val="0"/>
        <w:autoSpaceDE/>
        <w:autoSpaceDN/>
        <w:bidi w:val="0"/>
        <w:adjustRightInd/>
        <w:snapToGrid/>
        <w:spacing w:before="156" w:after="156" w:line="560" w:lineRule="exact"/>
        <w:textAlignment w:val="baseline"/>
        <w:rPr>
          <w:rFonts w:hint="eastAsia" w:ascii="宋体" w:hAnsi="宋体" w:eastAsia="方正小标宋_GBK" w:cs="Times New Roman"/>
          <w:b/>
          <w:color w:val="auto"/>
          <w:spacing w:val="0"/>
          <w:szCs w:val="48"/>
        </w:rPr>
      </w:pPr>
      <w:bookmarkStart w:id="2" w:name="_Toc124060243"/>
      <w:bookmarkStart w:id="3" w:name="_Toc472603636"/>
      <w:r>
        <w:rPr>
          <w:rFonts w:hint="eastAsia" w:ascii="宋体" w:hAnsi="宋体" w:eastAsia="方正小标宋_GBK" w:cs="Times New Roman"/>
          <w:b/>
          <w:color w:val="auto"/>
          <w:spacing w:val="0"/>
          <w:szCs w:val="48"/>
        </w:rPr>
        <w:t>第一章  发展基础及面临形势</w:t>
      </w:r>
      <w:bookmarkEnd w:id="2"/>
      <w:bookmarkEnd w:id="3"/>
    </w:p>
    <w:p>
      <w:pPr>
        <w:pStyle w:val="3"/>
        <w:keepNext/>
        <w:keepLines/>
        <w:pageBreakBefore w:val="0"/>
        <w:widowControl/>
        <w:kinsoku/>
        <w:wordWrap/>
        <w:overflowPunct/>
        <w:topLinePunct w:val="0"/>
        <w:autoSpaceDE/>
        <w:autoSpaceDN/>
        <w:bidi w:val="0"/>
        <w:adjustRightInd/>
        <w:snapToGrid/>
        <w:spacing w:before="156" w:after="156" w:line="560" w:lineRule="exact"/>
        <w:ind w:firstLine="0" w:firstLineChars="0"/>
        <w:jc w:val="center"/>
        <w:textAlignment w:val="baseline"/>
        <w:rPr>
          <w:rFonts w:hint="eastAsia" w:ascii="Cambria" w:hAnsi="Cambria" w:eastAsia="黑体" w:cs="Times New Roman"/>
          <w:bCs/>
          <w:color w:val="auto"/>
          <w:spacing w:val="0"/>
          <w:kern w:val="2"/>
          <w:sz w:val="32"/>
          <w:szCs w:val="32"/>
        </w:rPr>
      </w:pPr>
      <w:bookmarkStart w:id="4" w:name="_Toc124060244"/>
      <w:r>
        <w:rPr>
          <w:rFonts w:hint="eastAsia" w:ascii="Cambria" w:hAnsi="Cambria" w:eastAsia="黑体" w:cs="Times New Roman"/>
          <w:bCs/>
          <w:color w:val="auto"/>
          <w:spacing w:val="0"/>
          <w:kern w:val="2"/>
          <w:sz w:val="32"/>
          <w:szCs w:val="32"/>
        </w:rPr>
        <w:t>第一节  发展基础</w:t>
      </w:r>
      <w:bookmarkEnd w:id="4"/>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十三五”期间，连州市委、市政府坚持教育优先发展战略，以创建“广东省推进教育现代化先进市”为抓手，进一步提高教育保障能力，继续推进各阶段教育稳步发展，全面实施素质教育，大力发展职业教育，探索扶持民办教育，提升本市基本公共教育服务均等化和促进城乡教育均衡发展水平。</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lang w:val="en-US" w:eastAsia="zh-CN"/>
        </w:rPr>
        <w:t>1.</w:t>
      </w:r>
      <w:r>
        <w:rPr>
          <w:rFonts w:hint="eastAsia" w:ascii="仿宋_GB2312" w:hAnsi="仿宋_GB2312" w:eastAsia="仿宋_GB2312" w:cs="仿宋_GB2312"/>
          <w:b/>
          <w:bCs/>
          <w:color w:val="auto"/>
          <w:spacing w:val="0"/>
          <w:sz w:val="32"/>
          <w:szCs w:val="32"/>
          <w:highlight w:val="none"/>
        </w:rPr>
        <w:t>全市各阶段教育稳步发展。</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十三五”期间，连州市实现了广东省教育强镇全覆盖，2018年连州市成功创建“广东省推进教育现代化先进市”。通过教育创强创先，全市各级各类学校硬件建设上了一个台阶，教育步入了健康、协调、可持续发展的新阶段。</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十三五”期间，连州市共新建、改建、扩建学校38所，增加中小学幼儿园学位13562个。学前教育优质资源不断扩大。2016-2020年，拨付学前教育生均经费941.9万元，认定普惠性民办幼儿园40所，建成清远市一级幼儿园4所，广东省规范化幼儿园61所，规范化幼儿园占比达到92.4%，比2016年增长了24.5%，2019年连州市学前三年毛入学率达到98.01%。义务教育普及发展得到巩固提升。至2020年，完成农村寄宿制学校基本生活条件的标准化建设20所，配齐配足适合学生年龄特点、满足学生基本生活需求的设备设施，基本完成农村寄宿制学校基本生活条件的标准化建设，2018年后新增的农村寄宿制学校办学条件达到《清远市农村义务教育寄宿制学校生活设施配备和管理标准(试行)》要求；2019年连州市义务教育入学率达到100%，初中辍学率为0.8%。普及高中阶段教育成果得到进一步提升，高中阶段毛入学率由2015年91.29%提高至2020年99.67%。职业教育规模逐步扩大，连州市两所职业学校在校生规模逐年增加，广东省连州卫生学校开展现代学徒制试点工作取得了成效。紧抓“扩容、提质、强服务”机遇，推动连州职业教育改革发展，提升办学水平。</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lang w:val="en-US" w:eastAsia="zh-CN"/>
        </w:rPr>
        <w:t>2.</w:t>
      </w:r>
      <w:r>
        <w:rPr>
          <w:rFonts w:hint="eastAsia" w:ascii="仿宋_GB2312" w:hAnsi="仿宋_GB2312" w:eastAsia="仿宋_GB2312" w:cs="仿宋_GB2312"/>
          <w:b/>
          <w:bCs/>
          <w:color w:val="auto"/>
          <w:spacing w:val="0"/>
          <w:sz w:val="32"/>
          <w:szCs w:val="32"/>
          <w:highlight w:val="none"/>
        </w:rPr>
        <w:t>教育呈现出区域特色与亮点。</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体卫艺蓬勃发展，全面推进素质教育。</w:t>
      </w:r>
      <w:r>
        <w:rPr>
          <w:rFonts w:hint="eastAsia" w:ascii="仿宋_GB2312" w:hAnsi="仿宋_GB2312" w:eastAsia="仿宋_GB2312" w:cs="仿宋_GB2312"/>
          <w:color w:val="auto"/>
          <w:spacing w:val="0"/>
          <w:sz w:val="32"/>
          <w:szCs w:val="32"/>
          <w:highlight w:val="none"/>
        </w:rPr>
        <w:t>2018年连州市成功申报为“广东省农村学校艺术教育实验县”。通过深化广东省农村学校艺术教育实验县建设，挖掘本土“非物质文化遗产”项目，大力推进连州市中小学校幼儿园非遗项目传承工作坊及学生艺术实践坊创建工作；承办清远市第二届美育节活动，举办中小学校“开放周”活动、教师基本功竞赛、促教促学活动、“送教下乡”、科技教育活动等，</w:t>
      </w:r>
      <w:r>
        <w:rPr>
          <w:rFonts w:hint="eastAsia" w:ascii="仿宋_GB2312" w:hAnsi="仿宋_GB2312" w:eastAsia="仿宋_GB2312" w:cs="仿宋_GB2312"/>
          <w:color w:val="auto"/>
          <w:spacing w:val="0"/>
          <w:sz w:val="32"/>
          <w:szCs w:val="32"/>
          <w:highlight w:val="none"/>
          <w:shd w:val="clear" w:color="auto" w:fill="FFFFFF"/>
        </w:rPr>
        <w:t>连州市多所学校创建为全国青少年校园足球特色学校、非遗传承工作坊、学生艺术实践坊。</w:t>
      </w:r>
      <w:r>
        <w:rPr>
          <w:rFonts w:hint="eastAsia" w:ascii="仿宋_GB2312" w:hAnsi="仿宋_GB2312" w:eastAsia="仿宋_GB2312" w:cs="仿宋_GB2312"/>
          <w:color w:val="auto"/>
          <w:spacing w:val="0"/>
          <w:sz w:val="32"/>
          <w:szCs w:val="32"/>
          <w:highlight w:val="none"/>
        </w:rPr>
        <w:t>体卫艺教育特色发展，促进全市中小学生整体素质的提升。</w:t>
      </w:r>
    </w:p>
    <w:p>
      <w:pPr>
        <w:keepNext w:val="0"/>
        <w:keepLines w:val="0"/>
        <w:pageBreakBefore w:val="0"/>
        <w:widowControl w:val="0"/>
        <w:kinsoku/>
        <w:wordWrap/>
        <w:overflowPunct/>
        <w:topLinePunct w:val="0"/>
        <w:autoSpaceDE/>
        <w:autoSpaceDN/>
        <w:bidi w:val="0"/>
        <w:adjustRightInd/>
        <w:snapToGrid w:val="0"/>
        <w:spacing w:afterAutospacing="0" w:line="560" w:lineRule="exact"/>
        <w:ind w:left="0" w:leftChars="0" w:right="0" w:firstLine="606" w:firstLineChars="200"/>
        <w:textAlignment w:val="auto"/>
        <w:rPr>
          <w:rFonts w:hint="eastAsia" w:ascii="仿宋_GB2312" w:hAnsi="仿宋_GB2312" w:eastAsia="仿宋_GB2312" w:cs="仿宋_GB2312"/>
          <w:b w:val="0"/>
          <w:bCs w:val="0"/>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加大信息基础设施投入，加快教育信息化步伐。</w:t>
      </w:r>
      <w:r>
        <w:rPr>
          <w:rFonts w:hint="eastAsia" w:ascii="仿宋_GB2312" w:hAnsi="仿宋_GB2312" w:eastAsia="仿宋_GB2312" w:cs="仿宋_GB2312"/>
          <w:b w:val="0"/>
          <w:bCs w:val="0"/>
          <w:color w:val="auto"/>
          <w:spacing w:val="0"/>
          <w:sz w:val="32"/>
          <w:szCs w:val="32"/>
          <w:highlight w:val="none"/>
        </w:rPr>
        <w:t>建成北山中学智能安全监控系统</w:t>
      </w:r>
      <w:r>
        <w:rPr>
          <w:rFonts w:hint="eastAsia" w:ascii="仿宋_GB2312" w:hAnsi="仿宋_GB2312" w:eastAsia="仿宋_GB2312" w:cs="仿宋_GB2312"/>
          <w:b w:val="0"/>
          <w:bCs w:val="0"/>
          <w:color w:val="auto"/>
          <w:spacing w:val="0"/>
          <w:sz w:val="32"/>
          <w:szCs w:val="32"/>
          <w:highlight w:val="none"/>
          <w:lang w:eastAsia="zh-CN"/>
        </w:rPr>
        <w:t>、</w:t>
      </w:r>
      <w:r>
        <w:rPr>
          <w:rFonts w:hint="eastAsia" w:ascii="仿宋_GB2312" w:hAnsi="仿宋_GB2312" w:eastAsia="仿宋_GB2312" w:cs="仿宋_GB2312"/>
          <w:b w:val="0"/>
          <w:bCs w:val="0"/>
          <w:color w:val="auto"/>
          <w:spacing w:val="0"/>
          <w:sz w:val="32"/>
          <w:szCs w:val="32"/>
          <w:highlight w:val="none"/>
        </w:rPr>
        <w:t>连州中学VR未来智慧教室</w:t>
      </w:r>
      <w:r>
        <w:rPr>
          <w:rFonts w:hint="eastAsia" w:ascii="仿宋_GB2312" w:hAnsi="仿宋_GB2312" w:eastAsia="仿宋_GB2312" w:cs="仿宋_GB2312"/>
          <w:b w:val="0"/>
          <w:bCs w:val="0"/>
          <w:color w:val="auto"/>
          <w:spacing w:val="0"/>
          <w:sz w:val="32"/>
          <w:szCs w:val="32"/>
          <w:highlight w:val="none"/>
          <w:lang w:eastAsia="zh-CN"/>
        </w:rPr>
        <w:t>、</w:t>
      </w:r>
      <w:r>
        <w:rPr>
          <w:rFonts w:hint="eastAsia" w:ascii="仿宋_GB2312" w:hAnsi="仿宋_GB2312" w:eastAsia="仿宋_GB2312" w:cs="仿宋_GB2312"/>
          <w:b w:val="0"/>
          <w:bCs w:val="0"/>
          <w:color w:val="auto"/>
          <w:spacing w:val="0"/>
          <w:sz w:val="32"/>
          <w:szCs w:val="32"/>
          <w:highlight w:val="none"/>
        </w:rPr>
        <w:t>普通高考连州中学考点监控高清项目</w:t>
      </w:r>
      <w:r>
        <w:rPr>
          <w:rFonts w:hint="eastAsia" w:ascii="仿宋_GB2312" w:hAnsi="仿宋_GB2312" w:eastAsia="仿宋_GB2312" w:cs="仿宋_GB2312"/>
          <w:b w:val="0"/>
          <w:bCs w:val="0"/>
          <w:color w:val="auto"/>
          <w:spacing w:val="0"/>
          <w:sz w:val="32"/>
          <w:szCs w:val="32"/>
          <w:highlight w:val="none"/>
          <w:lang w:eastAsia="zh-CN"/>
        </w:rPr>
        <w:t>、</w:t>
      </w:r>
      <w:r>
        <w:rPr>
          <w:rFonts w:hint="eastAsia" w:ascii="仿宋_GB2312" w:hAnsi="仿宋_GB2312" w:eastAsia="仿宋_GB2312" w:cs="仿宋_GB2312"/>
          <w:b w:val="0"/>
          <w:bCs w:val="0"/>
          <w:color w:val="auto"/>
          <w:spacing w:val="0"/>
          <w:sz w:val="32"/>
          <w:szCs w:val="32"/>
          <w:highlight w:val="none"/>
        </w:rPr>
        <w:t>连州市教学质量大数据精准分析系统建设项目</w:t>
      </w:r>
      <w:r>
        <w:rPr>
          <w:rFonts w:hint="eastAsia" w:ascii="仿宋_GB2312" w:hAnsi="仿宋_GB2312" w:eastAsia="仿宋_GB2312" w:cs="仿宋_GB2312"/>
          <w:b w:val="0"/>
          <w:bCs w:val="0"/>
          <w:color w:val="auto"/>
          <w:spacing w:val="0"/>
          <w:sz w:val="32"/>
          <w:szCs w:val="32"/>
          <w:highlight w:val="none"/>
          <w:lang w:eastAsia="zh-CN"/>
        </w:rPr>
        <w:t>。</w:t>
      </w:r>
      <w:r>
        <w:rPr>
          <w:rFonts w:hint="eastAsia" w:ascii="仿宋_GB2312" w:hAnsi="仿宋_GB2312" w:eastAsia="仿宋_GB2312" w:cs="仿宋_GB2312"/>
          <w:b w:val="0"/>
          <w:bCs w:val="0"/>
          <w:color w:val="auto"/>
          <w:spacing w:val="0"/>
          <w:sz w:val="32"/>
          <w:szCs w:val="32"/>
          <w:highlight w:val="none"/>
        </w:rPr>
        <w:t>实施“三通两平台”建设，全市所有公办学校完成“校校通”工程建设，义务教育阶段学校“班班通”占比不断提高，基本实现“人人通”。开展“中小学教师信息技术应用能力提升工程2.0”试点工作，</w:t>
      </w:r>
      <w:r>
        <w:rPr>
          <w:rFonts w:hint="eastAsia" w:ascii="仿宋_GB2312" w:hAnsi="仿宋_GB2312" w:eastAsia="仿宋_GB2312" w:cs="仿宋_GB2312"/>
          <w:b w:val="0"/>
          <w:bCs w:val="0"/>
          <w:color w:val="auto"/>
          <w:spacing w:val="0"/>
          <w:sz w:val="32"/>
          <w:szCs w:val="32"/>
          <w:highlight w:val="none"/>
          <w:lang w:eastAsia="zh-CN"/>
        </w:rPr>
        <w:t>大力推进</w:t>
      </w:r>
      <w:r>
        <w:rPr>
          <w:rFonts w:hint="eastAsia" w:ascii="仿宋_GB2312" w:hAnsi="仿宋_GB2312" w:eastAsia="仿宋_GB2312" w:cs="仿宋_GB2312"/>
          <w:b w:val="0"/>
          <w:bCs w:val="0"/>
          <w:color w:val="auto"/>
          <w:spacing w:val="0"/>
          <w:sz w:val="32"/>
          <w:szCs w:val="32"/>
          <w:highlight w:val="none"/>
        </w:rPr>
        <w:t>“教育信息化2.0行动计划”进度。</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重视教研支撑作用，着力提升教学质量。</w:t>
      </w:r>
      <w:r>
        <w:rPr>
          <w:rFonts w:hint="eastAsia" w:ascii="仿宋_GB2312" w:hAnsi="仿宋_GB2312" w:eastAsia="仿宋_GB2312" w:cs="仿宋_GB2312"/>
          <w:color w:val="auto"/>
          <w:spacing w:val="0"/>
          <w:sz w:val="32"/>
          <w:szCs w:val="32"/>
          <w:highlight w:val="none"/>
        </w:rPr>
        <w:t>加大了教师教研培训力度，实施“名师培养工程”，实行推门听课制度，聚焦教学行为，大力探索“高效课堂”建设。近五年，全市有8个省级课题、47个市级、109个县级课题成功立项。通过加</w:t>
      </w:r>
      <w:r>
        <w:rPr>
          <w:rFonts w:hint="eastAsia" w:ascii="仿宋_GB2312" w:hAnsi="仿宋_GB2312" w:eastAsia="仿宋_GB2312" w:cs="仿宋_GB2312"/>
          <w:color w:val="auto"/>
          <w:spacing w:val="0"/>
          <w:sz w:val="32"/>
          <w:szCs w:val="32"/>
          <w:highlight w:val="none"/>
          <w:lang w:eastAsia="zh-CN"/>
        </w:rPr>
        <w:t>大</w:t>
      </w:r>
      <w:r>
        <w:rPr>
          <w:rFonts w:hint="eastAsia" w:ascii="仿宋_GB2312" w:hAnsi="仿宋_GB2312" w:eastAsia="仿宋_GB2312" w:cs="仿宋_GB2312"/>
          <w:color w:val="auto"/>
          <w:spacing w:val="0"/>
          <w:sz w:val="32"/>
          <w:szCs w:val="32"/>
          <w:highlight w:val="none"/>
        </w:rPr>
        <w:t>教研力度，提高教学水平，促进了教学质量提升。2020年全市参加高考本科上线率、高分优先投档线上线人数对比2016年本科、重点本科分别增加了35.83%、68%，广州一中连州实验班考生2020年高考本科上线率100%。连州市星子镇清江学校等5所学校被评“广东省小小科学家”实验学校，慧光中学学生袁哲、曾家明创作的“AI防疫智能校园食堂”荣获2020年广东省中小学劳动教育暨学生信息素养提升实践活动“人工智能应用”（初中组）一等奖。</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大力创建文明校园，积极推进家校互动。</w:t>
      </w:r>
      <w:r>
        <w:rPr>
          <w:rFonts w:hint="eastAsia" w:ascii="仿宋_GB2312" w:hAnsi="仿宋_GB2312" w:eastAsia="仿宋_GB2312" w:cs="仿宋_GB2312"/>
          <w:color w:val="auto"/>
          <w:spacing w:val="0"/>
          <w:sz w:val="32"/>
          <w:szCs w:val="32"/>
          <w:highlight w:val="none"/>
          <w:shd w:val="clear" w:color="auto" w:fill="FFFFFF"/>
        </w:rPr>
        <w:t>连州市</w:t>
      </w:r>
      <w:r>
        <w:rPr>
          <w:rFonts w:hint="eastAsia" w:ascii="仿宋_GB2312" w:hAnsi="仿宋_GB2312" w:eastAsia="仿宋_GB2312" w:cs="仿宋_GB2312"/>
          <w:color w:val="auto"/>
          <w:spacing w:val="0"/>
          <w:sz w:val="32"/>
          <w:szCs w:val="32"/>
          <w:highlight w:val="none"/>
        </w:rPr>
        <w:t>创建清远市文明校园成绩明显，把立德树人融入教育各环节，以党建引领文明校园建设，全市中小学100%创建成清远市文明校园，多所学校</w:t>
      </w:r>
      <w:r>
        <w:rPr>
          <w:rFonts w:hint="eastAsia" w:ascii="仿宋_GB2312" w:hAnsi="仿宋_GB2312" w:eastAsia="仿宋_GB2312" w:cs="仿宋_GB2312"/>
          <w:color w:val="auto"/>
          <w:spacing w:val="0"/>
          <w:sz w:val="32"/>
          <w:szCs w:val="32"/>
          <w:highlight w:val="none"/>
          <w:shd w:val="clear" w:color="auto" w:fill="FFFFFF"/>
        </w:rPr>
        <w:t>被授予“省级青少年毒品预防教育示范学校”等称号。</w:t>
      </w:r>
      <w:r>
        <w:rPr>
          <w:rFonts w:hint="eastAsia" w:ascii="仿宋_GB2312" w:hAnsi="仿宋_GB2312" w:eastAsia="仿宋_GB2312" w:cs="仿宋_GB2312"/>
          <w:color w:val="auto"/>
          <w:spacing w:val="0"/>
          <w:sz w:val="32"/>
          <w:szCs w:val="32"/>
          <w:highlight w:val="none"/>
        </w:rPr>
        <w:t>连州市教育局以“推动党组织全面进步、全面过硬”为目标开展活动，被授予“清远市文明单位”称号。</w:t>
      </w:r>
      <w:r>
        <w:rPr>
          <w:rFonts w:hint="eastAsia" w:ascii="仿宋_GB2312" w:hAnsi="仿宋_GB2312" w:eastAsia="仿宋_GB2312" w:cs="仿宋_GB2312"/>
          <w:color w:val="auto"/>
          <w:spacing w:val="0"/>
          <w:sz w:val="32"/>
          <w:szCs w:val="32"/>
          <w:highlight w:val="none"/>
          <w:shd w:val="clear" w:color="auto" w:fill="FFFFFF"/>
        </w:rPr>
        <w:t>引进</w:t>
      </w:r>
      <w:r>
        <w:rPr>
          <w:rFonts w:hint="eastAsia" w:ascii="仿宋_GB2312" w:hAnsi="仿宋_GB2312" w:eastAsia="仿宋_GB2312" w:cs="仿宋_GB2312"/>
          <w:color w:val="auto"/>
          <w:spacing w:val="0"/>
          <w:sz w:val="32"/>
          <w:szCs w:val="32"/>
          <w:highlight w:val="none"/>
        </w:rPr>
        <w:t>三宽家长学校项目，建成15所“三宽家长学校”实践校，推动“三宽”教育理念进校园、进家庭、进头脑，助力家庭教育科学化、规范化、制度化、特色化，连州市北山中学、连州镇实验小学、连州市第一幼儿园等3</w:t>
      </w:r>
      <w:r>
        <w:rPr>
          <w:rFonts w:hint="eastAsia" w:ascii="仿宋_GB2312" w:hAnsi="仿宋_GB2312" w:eastAsia="仿宋_GB2312" w:cs="仿宋_GB2312"/>
          <w:color w:val="auto"/>
          <w:spacing w:val="0"/>
          <w:sz w:val="32"/>
          <w:szCs w:val="32"/>
          <w:highlight w:val="none"/>
          <w:lang w:eastAsia="zh-CN"/>
        </w:rPr>
        <w:t>所</w:t>
      </w:r>
      <w:r>
        <w:rPr>
          <w:rFonts w:hint="eastAsia" w:ascii="仿宋_GB2312" w:hAnsi="仿宋_GB2312" w:eastAsia="仿宋_GB2312" w:cs="仿宋_GB2312"/>
          <w:color w:val="auto"/>
          <w:spacing w:val="0"/>
          <w:sz w:val="32"/>
          <w:szCs w:val="32"/>
          <w:highlight w:val="none"/>
        </w:rPr>
        <w:t>学校被授予“三宽家长学校示范校”，连州市成为在广东省内首个挂牌示范校的城市；在2019中国家长大会上，连州市教育局荣获中国家长教育“金推手”集体奖，呈现“家校社”共育的局面。</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3.教育现代治理机制逐步形成。</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加强顶层设计，积极推进重</w:t>
      </w:r>
      <w:r>
        <w:rPr>
          <w:rFonts w:hint="eastAsia" w:ascii="仿宋_GB2312" w:hAnsi="仿宋_GB2312" w:eastAsia="仿宋_GB2312" w:cs="仿宋_GB2312"/>
          <w:b/>
          <w:bCs/>
          <w:color w:val="auto"/>
          <w:spacing w:val="0"/>
          <w:sz w:val="32"/>
          <w:szCs w:val="32"/>
          <w:highlight w:val="none"/>
          <w:lang w:eastAsia="zh-CN"/>
        </w:rPr>
        <w:t>点</w:t>
      </w:r>
      <w:r>
        <w:rPr>
          <w:rFonts w:hint="eastAsia" w:ascii="仿宋_GB2312" w:hAnsi="仿宋_GB2312" w:eastAsia="仿宋_GB2312" w:cs="仿宋_GB2312"/>
          <w:b/>
          <w:bCs/>
          <w:color w:val="auto"/>
          <w:spacing w:val="0"/>
          <w:sz w:val="32"/>
          <w:szCs w:val="32"/>
          <w:highlight w:val="none"/>
        </w:rPr>
        <w:t>项目建设。</w:t>
      </w:r>
      <w:r>
        <w:rPr>
          <w:rFonts w:hint="eastAsia" w:ascii="仿宋_GB2312" w:hAnsi="仿宋_GB2312" w:eastAsia="仿宋_GB2312" w:cs="仿宋_GB2312"/>
          <w:color w:val="auto"/>
          <w:spacing w:val="0"/>
          <w:sz w:val="32"/>
          <w:szCs w:val="32"/>
          <w:highlight w:val="none"/>
        </w:rPr>
        <w:t>制定了《连州市义务教育学校办学水平发展规划（2020-2024年）》《连州市2030年前接受县域学前教育普及普惠督导评估总体规划》《连州市学前教育生均经费拨款制度》《连州市“三区”教师全员轮训计划书（2020-2022年）》等指导性制度方案，持续加快重点项目建设，</w:t>
      </w:r>
      <w:r>
        <w:rPr>
          <w:rFonts w:hint="eastAsia" w:ascii="仿宋_GB2312" w:hAnsi="仿宋_GB2312" w:eastAsia="仿宋_GB2312" w:cs="仿宋_GB2312"/>
          <w:color w:val="auto"/>
          <w:spacing w:val="0"/>
          <w:sz w:val="32"/>
          <w:szCs w:val="32"/>
          <w:highlight w:val="none"/>
          <w:lang w:eastAsia="zh-CN"/>
        </w:rPr>
        <w:t>连州市创建教育现代化先进市</w:t>
      </w:r>
      <w:r>
        <w:rPr>
          <w:rFonts w:hint="eastAsia" w:ascii="仿宋_GB2312" w:hAnsi="仿宋_GB2312" w:eastAsia="仿宋_GB2312" w:cs="仿宋_GB2312"/>
          <w:color w:val="auto"/>
          <w:spacing w:val="0"/>
          <w:sz w:val="32"/>
          <w:szCs w:val="32"/>
          <w:highlight w:val="none"/>
        </w:rPr>
        <w:t>建设项目按计划推进，教师发展中心工程完工，实验幼儿园、海阳中学、云溪小学工程如期推进，20所义务教育寄宿制学校改造建设全部完工，超额完成中小学“厕所革命”改造提升项目，完成普通高考连州中学考点监控高清项目、连州市教学质量大数据精准分析系统建设项目。2020年政府履行教育职责评价工作有序推进，顺利完成2020年国家义务教育质量监测。</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规范办学行为，学校管理水平逐步提升。</w:t>
      </w:r>
      <w:r>
        <w:rPr>
          <w:rFonts w:hint="eastAsia" w:ascii="仿宋_GB2312" w:hAnsi="仿宋_GB2312" w:eastAsia="仿宋_GB2312" w:cs="仿宋_GB2312"/>
          <w:color w:val="auto"/>
          <w:spacing w:val="0"/>
          <w:sz w:val="32"/>
          <w:szCs w:val="32"/>
          <w:highlight w:val="none"/>
        </w:rPr>
        <w:t>下大力气建立一支观念新、业务精、师德高尚、精心育人的教研队伍，引领全市各学校教学管理从粗放逐步向规范化、制度化、科学化管理迈进。坚持科研兴教，凸显教研支撑作用，加大教师教研培训力度，实施“名师培养工程”。盘活优质资源，实现初中高中资源共享，利用连州中学优质教学资源和先进的设施设备建立合作平台，通过一校多区促进优质教育教学资源共建共享，为连州输送更多的优秀高中生奠定基础。</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jc w:val="left"/>
        <w:textAlignment w:val="auto"/>
        <w:rPr>
          <w:rFonts w:hint="eastAsia" w:ascii="仿宋_GB2312" w:hAnsi="仿宋_GB2312" w:eastAsia="仿宋_GB2312" w:cs="仿宋_GB2312"/>
          <w:color w:val="auto"/>
          <w:spacing w:val="0"/>
          <w:sz w:val="32"/>
          <w:szCs w:val="32"/>
          <w:highlight w:val="none"/>
          <w:lang w:val="en-US" w:eastAsia="zh-CN"/>
        </w:rPr>
      </w:pPr>
      <w:r>
        <w:rPr>
          <w:rFonts w:hint="eastAsia" w:ascii="仿宋_GB2312" w:hAnsi="仿宋_GB2312" w:eastAsia="仿宋_GB2312" w:cs="仿宋_GB2312"/>
          <w:b/>
          <w:bCs/>
          <w:color w:val="auto"/>
          <w:spacing w:val="0"/>
          <w:sz w:val="32"/>
          <w:szCs w:val="32"/>
          <w:highlight w:val="none"/>
        </w:rPr>
        <w:t>建机制补短板，教师队伍建设得到加强。</w:t>
      </w:r>
      <w:r>
        <w:rPr>
          <w:rFonts w:hint="eastAsia" w:ascii="仿宋_GB2312" w:hAnsi="仿宋_GB2312" w:eastAsia="仿宋_GB2312" w:cs="仿宋_GB2312"/>
          <w:color w:val="auto"/>
          <w:spacing w:val="0"/>
          <w:sz w:val="32"/>
          <w:szCs w:val="32"/>
          <w:highlight w:val="none"/>
        </w:rPr>
        <w:t>建立师德考核办法，实施奖惩相结合的师德长效监督机制。深化“县管校聘”管理改革，不断完善教师补充机制，开展公费定向培养中小学教师工作，充实教师队伍，近五年，招聘教师580人，政府采购服务保育员100人。完善“人才引进、外出学习、市内提升”的多元化培训体系，加大教师培训力度，实施名校长、名教师、名班主任和骨干教师培养计划，促进教师专业发展；按省、市文件要求足额划</w:t>
      </w:r>
      <w:r>
        <w:rPr>
          <w:rFonts w:hint="eastAsia" w:ascii="仿宋_GB2312" w:hAnsi="仿宋_GB2312" w:eastAsia="仿宋_GB2312" w:cs="仿宋_GB2312"/>
          <w:color w:val="auto"/>
          <w:spacing w:val="0"/>
          <w:sz w:val="32"/>
          <w:szCs w:val="32"/>
          <w:highlight w:val="none"/>
          <w:lang w:eastAsia="zh-CN"/>
        </w:rPr>
        <w:t>拨</w:t>
      </w:r>
      <w:r>
        <w:rPr>
          <w:rFonts w:hint="eastAsia" w:ascii="仿宋_GB2312" w:hAnsi="仿宋_GB2312" w:eastAsia="仿宋_GB2312" w:cs="仿宋_GB2312"/>
          <w:color w:val="auto"/>
          <w:spacing w:val="0"/>
          <w:sz w:val="32"/>
          <w:szCs w:val="32"/>
          <w:highlight w:val="none"/>
        </w:rPr>
        <w:t>培训经费。</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jc w:val="left"/>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重视学校安全工作，创造平安和谐的校园环境。</w:t>
      </w:r>
      <w:r>
        <w:rPr>
          <w:rFonts w:hint="eastAsia" w:ascii="仿宋_GB2312" w:hAnsi="仿宋_GB2312" w:eastAsia="仿宋_GB2312" w:cs="仿宋_GB2312"/>
          <w:color w:val="auto"/>
          <w:spacing w:val="0"/>
          <w:sz w:val="32"/>
          <w:szCs w:val="32"/>
          <w:highlight w:val="none"/>
        </w:rPr>
        <w:t>采取综合措施，加强各类学校、幼儿园安全保卫工作，全市学校幼儿园安装校园电子监控系统重点场所部位覆盖率100%。加强校园安全综合整治，建立“警家校”校园周边交通护安护畅模式，家校社联动共筑中小学生安全屏障；进一步重点加强防溺水、道路交通、校车等重点部位督查管理，97所学校食堂实现“明厨亮灶+互联网”工程建设，成功建立“连州阳光厨房”社会共治新模式；关注中小学生心理健康德育安全，</w:t>
      </w:r>
      <w:r>
        <w:rPr>
          <w:rFonts w:hint="eastAsia" w:ascii="仿宋_GB2312" w:hAnsi="仿宋_GB2312" w:eastAsia="仿宋_GB2312" w:cs="仿宋_GB2312"/>
          <w:color w:val="auto"/>
          <w:spacing w:val="0"/>
          <w:sz w:val="32"/>
          <w:szCs w:val="32"/>
          <w:highlight w:val="none"/>
          <w:lang w:val="en-US" w:eastAsia="zh-CN"/>
        </w:rPr>
        <w:t>2020-2022年</w:t>
      </w:r>
      <w:r>
        <w:rPr>
          <w:rFonts w:hint="eastAsia" w:ascii="仿宋_GB2312" w:hAnsi="仿宋_GB2312" w:eastAsia="仿宋_GB2312" w:cs="仿宋_GB2312"/>
          <w:color w:val="auto"/>
          <w:spacing w:val="0"/>
          <w:sz w:val="32"/>
          <w:szCs w:val="32"/>
          <w:highlight w:val="none"/>
        </w:rPr>
        <w:t>对202所学校58658名在校中小学生建立心理健康普查档案，集中对524名重点关注学生进行心理危机预防干预。</w:t>
      </w:r>
    </w:p>
    <w:p>
      <w:pPr>
        <w:keepNext w:val="0"/>
        <w:keepLines w:val="0"/>
        <w:pageBreakBefore w:val="0"/>
        <w:widowControl w:val="0"/>
        <w:kinsoku/>
        <w:wordWrap/>
        <w:overflowPunct/>
        <w:topLinePunct w:val="0"/>
        <w:autoSpaceDE/>
        <w:autoSpaceDN/>
        <w:bidi w:val="0"/>
        <w:adjustRightInd/>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创新帮扶模式，广清教育对口帮扶取得成效。</w:t>
      </w:r>
      <w:r>
        <w:rPr>
          <w:rFonts w:hint="eastAsia" w:ascii="仿宋_GB2312" w:hAnsi="仿宋_GB2312" w:eastAsia="仿宋_GB2312" w:cs="仿宋_GB2312"/>
          <w:color w:val="auto"/>
          <w:spacing w:val="0"/>
          <w:sz w:val="32"/>
          <w:szCs w:val="32"/>
          <w:highlight w:val="none"/>
        </w:rPr>
        <w:t>搭建“广清帮扶”交流平台，开展多种交流活动，助力连州市学校教育教学管理、骨干教师培训、教育科研等工作，发挥教育帮扶“造血”、“扶智”的作用。20</w:t>
      </w:r>
      <w:r>
        <w:rPr>
          <w:rFonts w:hint="eastAsia" w:ascii="仿宋_GB2312" w:hAnsi="仿宋_GB2312" w:eastAsia="仿宋_GB2312" w:cs="仿宋_GB2312"/>
          <w:color w:val="auto"/>
          <w:spacing w:val="0"/>
          <w:sz w:val="32"/>
          <w:szCs w:val="32"/>
          <w:highlight w:val="none"/>
          <w:lang w:val="en-US" w:eastAsia="zh-CN"/>
        </w:rPr>
        <w:t>22</w:t>
      </w:r>
      <w:r>
        <w:rPr>
          <w:rFonts w:hint="eastAsia" w:ascii="仿宋_GB2312" w:hAnsi="仿宋_GB2312" w:eastAsia="仿宋_GB2312" w:cs="仿宋_GB2312"/>
          <w:color w:val="auto"/>
          <w:spacing w:val="0"/>
          <w:sz w:val="32"/>
          <w:szCs w:val="32"/>
          <w:highlight w:val="none"/>
        </w:rPr>
        <w:t>年</w:t>
      </w:r>
      <w:r>
        <w:rPr>
          <w:rFonts w:hint="eastAsia" w:ascii="仿宋_GB2312" w:hAnsi="仿宋_GB2312" w:eastAsia="仿宋_GB2312" w:cs="仿宋_GB2312"/>
          <w:color w:val="auto"/>
          <w:spacing w:val="0"/>
          <w:sz w:val="32"/>
          <w:szCs w:val="32"/>
          <w:highlight w:val="none"/>
          <w:lang w:val="en-US" w:eastAsia="zh-CN"/>
        </w:rPr>
        <w:t>秋季</w:t>
      </w:r>
      <w:r>
        <w:rPr>
          <w:rFonts w:hint="eastAsia" w:ascii="仿宋_GB2312" w:hAnsi="仿宋_GB2312" w:eastAsia="仿宋_GB2312" w:cs="仿宋_GB2312"/>
          <w:color w:val="auto"/>
          <w:spacing w:val="0"/>
          <w:sz w:val="32"/>
          <w:szCs w:val="32"/>
          <w:highlight w:val="none"/>
        </w:rPr>
        <w:t>开设连州</w:t>
      </w:r>
      <w:r>
        <w:rPr>
          <w:rFonts w:hint="eastAsia" w:ascii="仿宋_GB2312" w:hAnsi="仿宋_GB2312" w:eastAsia="仿宋_GB2312" w:cs="仿宋_GB2312"/>
          <w:color w:val="auto"/>
          <w:spacing w:val="0"/>
          <w:sz w:val="32"/>
          <w:szCs w:val="32"/>
          <w:highlight w:val="none"/>
          <w:lang w:val="en-US" w:eastAsia="zh-CN"/>
        </w:rPr>
        <w:t>中学广州六中班</w:t>
      </w:r>
      <w:r>
        <w:rPr>
          <w:rFonts w:hint="eastAsia" w:ascii="仿宋_GB2312" w:hAnsi="仿宋_GB2312" w:eastAsia="仿宋_GB2312" w:cs="仿宋_GB2312"/>
          <w:color w:val="auto"/>
          <w:spacing w:val="0"/>
          <w:sz w:val="32"/>
          <w:szCs w:val="32"/>
          <w:highlight w:val="none"/>
        </w:rPr>
        <w:t>，开展连州优秀生培养。2015年开设</w:t>
      </w:r>
      <w:r>
        <w:rPr>
          <w:rFonts w:hint="eastAsia" w:ascii="仿宋_GB2312" w:hAnsi="仿宋_GB2312" w:eastAsia="仿宋_GB2312" w:cs="仿宋_GB2312"/>
          <w:color w:val="auto"/>
          <w:spacing w:val="0"/>
          <w:sz w:val="32"/>
          <w:szCs w:val="32"/>
          <w:highlight w:val="none"/>
          <w:lang w:eastAsia="zh-CN"/>
        </w:rPr>
        <w:t>连州市第二中学</w:t>
      </w:r>
      <w:r>
        <w:rPr>
          <w:rFonts w:hint="eastAsia" w:ascii="仿宋_GB2312" w:hAnsi="仿宋_GB2312" w:eastAsia="仿宋_GB2312" w:cs="仿宋_GB2312"/>
          <w:color w:val="auto"/>
          <w:spacing w:val="0"/>
          <w:sz w:val="32"/>
          <w:szCs w:val="32"/>
          <w:highlight w:val="none"/>
        </w:rPr>
        <w:t>（广州一中）实验班，2018年开设连州中学真光班，开展连州优秀生培养。在广州市荔湾区扶贫资金项目的支持下，引进三宽家长学校项目，建成15所“三宽家长学校”实践校，连州市成为在广东省内首个挂牌示范校的城市。广清帮扶“一校扶一镇”基本实现全覆盖，广州市南海中学、荔湾区詹天佑小学、荔湾区林凤娥小学等14所学校帮扶连州瑶安民族学校、东陂镇西溪中心学校、连州镇城北小学</w:t>
      </w:r>
      <w:r>
        <w:rPr>
          <w:rFonts w:hint="eastAsia" w:ascii="仿宋_GB2312" w:hAnsi="仿宋_GB2312" w:eastAsia="仿宋_GB2312" w:cs="仿宋_GB2312"/>
          <w:color w:val="auto"/>
          <w:spacing w:val="0"/>
          <w:sz w:val="32"/>
          <w:szCs w:val="32"/>
          <w:highlight w:val="none"/>
          <w:lang w:eastAsia="zh-CN"/>
        </w:rPr>
        <w:t>（现更名为连州镇中心小学）</w:t>
      </w:r>
      <w:r>
        <w:rPr>
          <w:rFonts w:hint="eastAsia" w:ascii="仿宋_GB2312" w:hAnsi="仿宋_GB2312" w:eastAsia="仿宋_GB2312" w:cs="仿宋_GB2312"/>
          <w:color w:val="auto"/>
          <w:spacing w:val="0"/>
          <w:sz w:val="32"/>
          <w:szCs w:val="32"/>
          <w:highlight w:val="none"/>
        </w:rPr>
        <w:t>等12个镇乡17所学校，把“点对点”帮扶扩展到“点对面”辐射。</w:t>
      </w:r>
      <w:r>
        <w:rPr>
          <w:rFonts w:hint="eastAsia" w:ascii="仿宋_GB2312" w:hAnsi="仿宋_GB2312" w:eastAsia="仿宋_GB2312" w:cs="仿宋_GB2312"/>
          <w:color w:val="auto"/>
          <w:spacing w:val="0"/>
          <w:sz w:val="32"/>
          <w:szCs w:val="32"/>
          <w:highlight w:val="none"/>
          <w:lang w:val="en-US" w:eastAsia="zh-CN"/>
        </w:rPr>
        <w:t>2021-2022年</w:t>
      </w:r>
      <w:r>
        <w:rPr>
          <w:rFonts w:hint="eastAsia" w:ascii="仿宋_GB2312" w:hAnsi="仿宋_GB2312" w:eastAsia="仿宋_GB2312" w:cs="仿宋_GB2312"/>
          <w:color w:val="auto"/>
          <w:spacing w:val="0"/>
          <w:sz w:val="32"/>
          <w:szCs w:val="32"/>
          <w:highlight w:val="none"/>
        </w:rPr>
        <w:t>落实广清帮扶资金</w:t>
      </w:r>
      <w:r>
        <w:rPr>
          <w:rFonts w:hint="eastAsia" w:ascii="仿宋_GB2312" w:hAnsi="仿宋_GB2312" w:eastAsia="仿宋_GB2312" w:cs="仿宋_GB2312"/>
          <w:color w:val="auto"/>
          <w:spacing w:val="0"/>
          <w:sz w:val="32"/>
          <w:szCs w:val="32"/>
          <w:highlight w:val="none"/>
          <w:lang w:val="en-US" w:eastAsia="zh-CN"/>
        </w:rPr>
        <w:t>2359</w:t>
      </w:r>
      <w:r>
        <w:rPr>
          <w:rFonts w:hint="eastAsia" w:ascii="仿宋_GB2312" w:hAnsi="仿宋_GB2312" w:eastAsia="仿宋_GB2312" w:cs="仿宋_GB2312"/>
          <w:color w:val="auto"/>
          <w:spacing w:val="0"/>
          <w:sz w:val="32"/>
          <w:szCs w:val="32"/>
          <w:highlight w:val="none"/>
        </w:rPr>
        <w:t>万元。两地精心合作，制定切实可行的教师培训计划，选拔中青年优秀教师或管理干部作为种子教师赴广州名校跟岗学习，全方位、全过程参与广州市学校的教育教学管理活动。前后共选派</w:t>
      </w:r>
      <w:r>
        <w:rPr>
          <w:rFonts w:hint="eastAsia" w:ascii="仿宋_GB2312" w:hAnsi="仿宋_GB2312" w:eastAsia="仿宋_GB2312" w:cs="仿宋_GB2312"/>
          <w:color w:val="auto"/>
          <w:spacing w:val="0"/>
          <w:sz w:val="32"/>
          <w:szCs w:val="32"/>
          <w:highlight w:val="none"/>
          <w:lang w:val="en-US" w:eastAsia="zh-CN"/>
        </w:rPr>
        <w:t>31</w:t>
      </w:r>
      <w:r>
        <w:rPr>
          <w:rFonts w:hint="eastAsia" w:ascii="仿宋_GB2312" w:hAnsi="仿宋_GB2312" w:eastAsia="仿宋_GB2312" w:cs="仿宋_GB2312"/>
          <w:color w:val="auto"/>
          <w:spacing w:val="0"/>
          <w:sz w:val="32"/>
          <w:szCs w:val="32"/>
          <w:highlight w:val="none"/>
        </w:rPr>
        <w:t>位教师到广州市第一中学等广州市荔湾区中小学进行为期半年至三年的跟岗学习。广清帮扶促进全市高考成绩稳步提升，2020年全市高考高分优先投档线上线人数126人，较2019年增加了16人，广州一中连州班考生2020年高考本科上线率达100%。</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4.教育发展的地位更加凸显。</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依法落实教育经费投入，确保两个“只增不减”。</w:t>
      </w:r>
      <w:r>
        <w:rPr>
          <w:rFonts w:hint="eastAsia" w:ascii="仿宋_GB2312" w:hAnsi="仿宋_GB2312" w:eastAsia="仿宋_GB2312" w:cs="仿宋_GB2312"/>
          <w:color w:val="auto"/>
          <w:spacing w:val="0"/>
          <w:sz w:val="32"/>
          <w:szCs w:val="32"/>
          <w:highlight w:val="none"/>
        </w:rPr>
        <w:t>2020年国家财政性教育经费78723万元，比2016年（53974万元）增加24749万元，增长45.86%。各学段本级财政配套资金已按计划全额拨付到校；全年落实教育补助学生1.75万人次3167万元。教师工资收入实现“两个不低于或高于”，进一步规范调整连州市发放广东省山区和农村边远地区义务教育学校教师岗位津贴标准，保障教师待遇。</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坚持教育优先发展，不断改善办学条件。一是增加学位，解决市区与部分镇（乡）学位不足问题，同时为市区和部分镇（乡）学校储备学位。通过加强教育基础建设，2016年新建连州镇城南小学增加小学学位1045个，2017年新增学位1080个，2018年增加学位3397个，2019年新增学位3530个，2020年新增学位4510个。二是大力推进义务教育标准化学校建设，配齐配足设备设施。三是落实对农村贫困学生的“两免一补”政策。</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大力推进“5080”攻坚行动</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学前教育毛入园率由2015年的95.1%提升至98.03%，公办（含公办性质）幼儿园在园幼儿占比达51.57%，公办幼儿园和普惠性民办幼儿园在园幼儿数占比达91.3%。制定了《连州市2020年解决学前教育公办学位缺口工作方案》，结合幼儿园五年建设规划，通过迁建、改扩建、新建一批公办幼儿园，进一步增加公办幼儿园学位。实施学前教育扩容提升工程，增加学前教育普惠优质学位。申报地方政府专项债券项目本年度18560万元债券项目，新建3所幼儿园、改造7所乡镇中心幼儿园分园，预计增加公办学位约2000个；利用省级学前教育专项资金887万元改扩建各乡镇中心幼儿园，预计增加公办幼儿园学位600个。加强城镇小区配套幼儿园建设用地预留规划，进一步增强公办或普惠性学前教育学位的供给能力。加强幼儿园规范化办园行为指导，7所幼儿园创建省规范园已通过验收。</w:t>
      </w:r>
    </w:p>
    <w:p>
      <w:pPr>
        <w:pageBreakBefore w:val="0"/>
        <w:kinsoku/>
        <w:overflowPunct/>
        <w:topLinePunct w:val="0"/>
        <w:bidi w:val="0"/>
        <w:spacing w:line="520" w:lineRule="exact"/>
        <w:ind w:firstLine="0" w:firstLineChars="0"/>
        <w:contextualSpacing/>
        <w:jc w:val="both"/>
        <w:rPr>
          <w:rFonts w:hint="eastAsia" w:ascii="仿宋_GB2312" w:hAnsi="仿宋_GB2312" w:eastAsia="仿宋_GB2312" w:cs="仿宋_GB2312"/>
          <w:color w:val="auto"/>
          <w:spacing w:val="0"/>
          <w:sz w:val="36"/>
          <w:szCs w:val="36"/>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566" w:firstLineChars="200"/>
        <w:contextualSpacing/>
        <w:jc w:val="center"/>
        <w:textAlignment w:val="auto"/>
        <w:rPr>
          <w:rFonts w:hint="eastAsia" w:ascii="黑体" w:hAnsi="黑体" w:eastAsia="黑体" w:cs="黑体"/>
          <w:b w:val="0"/>
          <w:bCs w:val="0"/>
          <w:color w:val="auto"/>
          <w:spacing w:val="0"/>
          <w:kern w:val="0"/>
          <w:sz w:val="30"/>
          <w:szCs w:val="30"/>
          <w:highlight w:val="none"/>
        </w:rPr>
      </w:pPr>
      <w:r>
        <w:rPr>
          <w:rFonts w:hint="eastAsia" w:ascii="黑体" w:hAnsi="黑体" w:eastAsia="黑体" w:cs="黑体"/>
          <w:b w:val="0"/>
          <w:bCs w:val="0"/>
          <w:color w:val="auto"/>
          <w:spacing w:val="0"/>
          <w:sz w:val="30"/>
          <w:szCs w:val="30"/>
          <w:highlight w:val="none"/>
        </w:rPr>
        <w:t>连州市“十三五”期间教育</w:t>
      </w:r>
      <w:r>
        <w:rPr>
          <w:rFonts w:hint="eastAsia" w:ascii="黑体" w:hAnsi="黑体" w:eastAsia="黑体" w:cs="黑体"/>
          <w:b w:val="0"/>
          <w:bCs w:val="0"/>
          <w:color w:val="auto"/>
          <w:spacing w:val="0"/>
          <w:kern w:val="0"/>
          <w:sz w:val="30"/>
          <w:szCs w:val="30"/>
          <w:highlight w:val="none"/>
        </w:rPr>
        <w:t>事业发展情况表</w:t>
      </w:r>
    </w:p>
    <w:tbl>
      <w:tblPr>
        <w:tblStyle w:val="12"/>
        <w:tblpPr w:leftFromText="180" w:rightFromText="180" w:vertAnchor="text" w:horzAnchor="margin" w:tblpX="1" w:tblpY="625"/>
        <w:tblOverlap w:val="never"/>
        <w:tblW w:w="879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78"/>
        <w:gridCol w:w="4530"/>
        <w:gridCol w:w="1050"/>
        <w:gridCol w:w="1170"/>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34" w:hRule="atLeast"/>
        </w:trPr>
        <w:tc>
          <w:tcPr>
            <w:tcW w:w="5508" w:type="dxa"/>
            <w:gridSpan w:val="2"/>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color w:val="auto"/>
                <w:spacing w:val="0"/>
                <w:sz w:val="24"/>
                <w:szCs w:val="24"/>
              </w:rPr>
            </w:pPr>
            <w:r>
              <w:rPr>
                <w:rFonts w:hint="eastAsia" w:ascii="Calibri" w:hAnsi="Calibri" w:eastAsia="黑体" w:cs="黑体"/>
                <w:color w:val="auto"/>
                <w:spacing w:val="0"/>
                <w:sz w:val="24"/>
                <w:szCs w:val="24"/>
              </w:rPr>
              <w:t>指</w:t>
            </w:r>
            <w:r>
              <w:rPr>
                <w:rFonts w:hint="eastAsia" w:ascii="Calibri" w:hAnsi="Calibri" w:eastAsia="黑体" w:cs="黑体"/>
                <w:color w:val="auto"/>
                <w:spacing w:val="0"/>
                <w:sz w:val="24"/>
                <w:szCs w:val="24"/>
                <w:lang w:val="en-US" w:eastAsia="zh-CN"/>
              </w:rPr>
              <w:t xml:space="preserve">  </w:t>
            </w:r>
            <w:r>
              <w:rPr>
                <w:rFonts w:hint="eastAsia" w:ascii="Calibri" w:hAnsi="Calibri" w:eastAsia="黑体" w:cs="黑体"/>
                <w:color w:val="auto"/>
                <w:spacing w:val="0"/>
                <w:sz w:val="24"/>
                <w:szCs w:val="24"/>
              </w:rPr>
              <w:t>标</w:t>
            </w:r>
          </w:p>
        </w:tc>
        <w:tc>
          <w:tcPr>
            <w:tcW w:w="105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color w:val="auto"/>
                <w:spacing w:val="0"/>
                <w:sz w:val="24"/>
                <w:szCs w:val="24"/>
              </w:rPr>
            </w:pPr>
            <w:r>
              <w:rPr>
                <w:rFonts w:hint="eastAsia" w:ascii="Calibri" w:hAnsi="Calibri" w:eastAsia="黑体" w:cs="黑体"/>
                <w:color w:val="auto"/>
                <w:spacing w:val="0"/>
                <w:sz w:val="24"/>
                <w:szCs w:val="24"/>
              </w:rPr>
              <w:t>2016年</w:t>
            </w:r>
          </w:p>
        </w:tc>
        <w:tc>
          <w:tcPr>
            <w:tcW w:w="117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color w:val="auto"/>
                <w:spacing w:val="0"/>
                <w:sz w:val="24"/>
                <w:szCs w:val="24"/>
              </w:rPr>
            </w:pPr>
            <w:r>
              <w:rPr>
                <w:rFonts w:hint="eastAsia" w:ascii="Calibri" w:hAnsi="Calibri" w:eastAsia="黑体" w:cs="黑体"/>
                <w:color w:val="auto"/>
                <w:spacing w:val="0"/>
                <w:sz w:val="24"/>
                <w:szCs w:val="24"/>
              </w:rPr>
              <w:t>2020年</w:t>
            </w:r>
          </w:p>
        </w:tc>
        <w:tc>
          <w:tcPr>
            <w:tcW w:w="1065"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color w:val="auto"/>
                <w:spacing w:val="0"/>
                <w:sz w:val="24"/>
                <w:szCs w:val="24"/>
              </w:rPr>
            </w:pPr>
            <w:r>
              <w:rPr>
                <w:rFonts w:hint="eastAsia" w:ascii="Calibri" w:hAnsi="Calibri" w:eastAsia="黑体" w:cs="黑体"/>
                <w:color w:val="auto"/>
                <w:spacing w:val="0"/>
                <w:sz w:val="24"/>
                <w:szCs w:val="24"/>
              </w:rPr>
              <w:t>增幅（%）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5" w:hRule="atLeast"/>
        </w:trPr>
        <w:tc>
          <w:tcPr>
            <w:tcW w:w="978" w:type="dxa"/>
            <w:vMerge w:val="restart"/>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学前教育</w:t>
            </w: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幼儿教育学校数（所）</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53</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66</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公办幼儿园数（所）</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16</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19</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学前三年毛入学率（%）</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96.61</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98.03</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在园幼儿数（人）</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14894</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13099</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 w:hRule="atLeast"/>
        </w:trPr>
        <w:tc>
          <w:tcPr>
            <w:tcW w:w="978" w:type="dxa"/>
            <w:vMerge w:val="restart"/>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九年义务</w:t>
            </w:r>
          </w:p>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教育</w:t>
            </w: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义务教育学校数（所）</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49</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62</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公办义务教育学校数（所）</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48</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61</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标准化学校数（所）</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49</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62</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小学适龄儿童入学率（%）</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100</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100</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小学毕业生升学率（%）</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100</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100</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初中毕业生升学率（%）</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98.03</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98.36</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4" w:hRule="atLeast"/>
        </w:trPr>
        <w:tc>
          <w:tcPr>
            <w:tcW w:w="978" w:type="dxa"/>
            <w:vMerge w:val="restart"/>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高中阶段</w:t>
            </w:r>
          </w:p>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教育</w:t>
            </w: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普通高中（含十二年一贯制、完全中学）</w:t>
            </w:r>
          </w:p>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学校数（所）</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中等职业教育（含技工学校）学校数（所）</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高中阶段毛入学率（%）</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95.13%</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99.67%</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4.54%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restart"/>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特殊教育</w:t>
            </w: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特殊教育学校数（所）</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学生总数（人）</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23</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43</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87.0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适龄残疾儿童少年入学率（%）</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97.6</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99.0</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8" w:hRule="atLeast"/>
        </w:trPr>
        <w:tc>
          <w:tcPr>
            <w:tcW w:w="978" w:type="dxa"/>
            <w:vMerge w:val="restart"/>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师资队伍</w:t>
            </w:r>
          </w:p>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情况</w:t>
            </w: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幼儿园专任教师专科以上学历比例（%）</w:t>
            </w:r>
          </w:p>
        </w:tc>
        <w:tc>
          <w:tcPr>
            <w:tcW w:w="105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63.16%</w:t>
            </w:r>
          </w:p>
        </w:tc>
        <w:tc>
          <w:tcPr>
            <w:tcW w:w="117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75.52%</w:t>
            </w:r>
          </w:p>
        </w:tc>
        <w:tc>
          <w:tcPr>
            <w:tcW w:w="1065"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12.36%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小学专任教师专科以上学历比例（%）</w:t>
            </w:r>
          </w:p>
        </w:tc>
        <w:tc>
          <w:tcPr>
            <w:tcW w:w="105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95.03%</w:t>
            </w:r>
          </w:p>
        </w:tc>
        <w:tc>
          <w:tcPr>
            <w:tcW w:w="117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96.64%</w:t>
            </w:r>
          </w:p>
        </w:tc>
        <w:tc>
          <w:tcPr>
            <w:tcW w:w="1065"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1.62%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初中专任教师本科以上学历比例（%）</w:t>
            </w:r>
          </w:p>
        </w:tc>
        <w:tc>
          <w:tcPr>
            <w:tcW w:w="105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80.12%</w:t>
            </w:r>
          </w:p>
        </w:tc>
        <w:tc>
          <w:tcPr>
            <w:tcW w:w="117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86.00%</w:t>
            </w:r>
          </w:p>
        </w:tc>
        <w:tc>
          <w:tcPr>
            <w:tcW w:w="1065"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5.88%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普通高中专任教师本科以上学历比例（%）</w:t>
            </w:r>
          </w:p>
        </w:tc>
        <w:tc>
          <w:tcPr>
            <w:tcW w:w="105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100.00%</w:t>
            </w:r>
          </w:p>
        </w:tc>
        <w:tc>
          <w:tcPr>
            <w:tcW w:w="117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100.00%</w:t>
            </w:r>
          </w:p>
        </w:tc>
        <w:tc>
          <w:tcPr>
            <w:tcW w:w="1065"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中职学校专任教师本科以上学历比例（%）</w:t>
            </w:r>
          </w:p>
        </w:tc>
        <w:tc>
          <w:tcPr>
            <w:tcW w:w="105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100.00%</w:t>
            </w:r>
          </w:p>
        </w:tc>
        <w:tc>
          <w:tcPr>
            <w:tcW w:w="1170"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98.01%</w:t>
            </w:r>
          </w:p>
        </w:tc>
        <w:tc>
          <w:tcPr>
            <w:tcW w:w="1065" w:type="dxa"/>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kern w:val="2"/>
                <w:sz w:val="24"/>
                <w:szCs w:val="24"/>
              </w:rPr>
              <w:t>-1.99%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restart"/>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color w:val="auto"/>
                <w:spacing w:val="0"/>
                <w:sz w:val="24"/>
                <w:szCs w:val="24"/>
              </w:rPr>
            </w:pPr>
            <w:r>
              <w:rPr>
                <w:rFonts w:hint="eastAsia" w:ascii="宋体" w:hAnsi="宋体" w:eastAsia="宋体" w:cs="宋体"/>
                <w:color w:val="auto"/>
                <w:spacing w:val="0"/>
                <w:sz w:val="24"/>
                <w:szCs w:val="24"/>
              </w:rPr>
              <w:t>信息化建设情况</w:t>
            </w: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小学计算机（台）</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4323</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4746</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4"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中学计算机（台）</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3733</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4272</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14.44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校校通接入（%）</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100</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100</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lang w:val="en-US" w:eastAsia="zh-CN"/>
              </w:rPr>
            </w:pPr>
            <w:r>
              <w:rPr>
                <w:rFonts w:hint="eastAsia" w:ascii="Calibri" w:hAnsi="Calibri" w:eastAsia="黑体" w:cs="黑体"/>
                <w:b w:val="0"/>
                <w:bCs w:val="0"/>
                <w:color w:val="auto"/>
                <w:spacing w:val="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01" w:hRule="atLeast"/>
        </w:trPr>
        <w:tc>
          <w:tcPr>
            <w:tcW w:w="978" w:type="dxa"/>
            <w:vMerge w:val="continue"/>
            <w:vAlign w:val="center"/>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color w:val="auto"/>
                <w:spacing w:val="0"/>
                <w:sz w:val="24"/>
                <w:szCs w:val="24"/>
              </w:rPr>
            </w:pPr>
          </w:p>
        </w:tc>
        <w:tc>
          <w:tcPr>
            <w:tcW w:w="4530" w:type="dxa"/>
          </w:tcPr>
          <w:p>
            <w:pPr>
              <w:pageBreakBefore w:val="0"/>
              <w:widowControl/>
              <w:kinsoku/>
              <w:overflowPunct/>
              <w:topLinePunct w:val="0"/>
              <w:bidi w:val="0"/>
              <w:spacing w:line="440" w:lineRule="exact"/>
              <w:contextualSpacing/>
              <w:jc w:val="center"/>
              <w:textAlignment w:val="baseline"/>
              <w:rPr>
                <w:rFonts w:hint="eastAsia" w:ascii="宋体" w:hAnsi="宋体" w:eastAsia="宋体" w:cs="宋体"/>
                <w:color w:val="auto"/>
                <w:spacing w:val="0"/>
                <w:sz w:val="24"/>
                <w:szCs w:val="24"/>
              </w:rPr>
            </w:pPr>
            <w:r>
              <w:rPr>
                <w:rFonts w:hint="eastAsia" w:ascii="宋体" w:hAnsi="宋体" w:eastAsia="宋体" w:cs="宋体"/>
                <w:color w:val="auto"/>
                <w:spacing w:val="0"/>
                <w:sz w:val="24"/>
                <w:szCs w:val="24"/>
              </w:rPr>
              <w:t>班班通平台（%）</w:t>
            </w:r>
          </w:p>
        </w:tc>
        <w:tc>
          <w:tcPr>
            <w:tcW w:w="105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82.37</w:t>
            </w:r>
          </w:p>
        </w:tc>
        <w:tc>
          <w:tcPr>
            <w:tcW w:w="1170"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85.41</w:t>
            </w:r>
          </w:p>
        </w:tc>
        <w:tc>
          <w:tcPr>
            <w:tcW w:w="1065" w:type="dxa"/>
          </w:tcPr>
          <w:p>
            <w:pPr>
              <w:pageBreakBefore w:val="0"/>
              <w:widowControl/>
              <w:kinsoku/>
              <w:overflowPunct/>
              <w:topLinePunct w:val="0"/>
              <w:bidi w:val="0"/>
              <w:spacing w:line="440" w:lineRule="exact"/>
              <w:contextualSpacing/>
              <w:jc w:val="center"/>
              <w:textAlignment w:val="baseline"/>
              <w:rPr>
                <w:rFonts w:hint="eastAsia" w:ascii="Calibri" w:hAnsi="Calibri" w:eastAsia="黑体" w:cs="黑体"/>
                <w:b w:val="0"/>
                <w:bCs w:val="0"/>
                <w:color w:val="auto"/>
                <w:spacing w:val="0"/>
                <w:sz w:val="24"/>
                <w:szCs w:val="24"/>
              </w:rPr>
            </w:pPr>
            <w:r>
              <w:rPr>
                <w:rFonts w:hint="eastAsia" w:ascii="Calibri" w:hAnsi="Calibri" w:eastAsia="黑体" w:cs="黑体"/>
                <w:b w:val="0"/>
                <w:bCs w:val="0"/>
                <w:color w:val="auto"/>
                <w:spacing w:val="0"/>
                <w:sz w:val="24"/>
                <w:szCs w:val="24"/>
              </w:rPr>
              <w:t>3.04</w:t>
            </w:r>
          </w:p>
        </w:tc>
      </w:tr>
    </w:tbl>
    <w:p>
      <w:pPr>
        <w:pStyle w:val="3"/>
        <w:pageBreakBefore w:val="0"/>
        <w:widowControl/>
        <w:kinsoku/>
        <w:overflowPunct/>
        <w:topLinePunct w:val="0"/>
        <w:bidi w:val="0"/>
        <w:adjustRightInd/>
        <w:snapToGrid/>
        <w:spacing w:before="156" w:after="156" w:line="560" w:lineRule="exact"/>
        <w:ind w:firstLine="0" w:firstLineChars="0"/>
        <w:jc w:val="center"/>
        <w:textAlignment w:val="baseline"/>
        <w:rPr>
          <w:rFonts w:hint="eastAsia" w:ascii="Cambria" w:hAnsi="Cambria" w:eastAsia="黑体" w:cs="Times New Roman"/>
          <w:bCs/>
          <w:color w:val="auto"/>
          <w:spacing w:val="0"/>
          <w:kern w:val="2"/>
          <w:sz w:val="32"/>
          <w:szCs w:val="32"/>
        </w:rPr>
      </w:pPr>
      <w:bookmarkStart w:id="5" w:name="_Toc124060245"/>
      <w:r>
        <w:rPr>
          <w:rFonts w:hint="eastAsia" w:ascii="Cambria" w:hAnsi="Cambria" w:eastAsia="黑体" w:cs="Times New Roman"/>
          <w:bCs/>
          <w:color w:val="auto"/>
          <w:spacing w:val="0"/>
          <w:kern w:val="2"/>
          <w:sz w:val="32"/>
          <w:szCs w:val="32"/>
        </w:rPr>
        <w:t>第二节  主要挑战</w:t>
      </w:r>
      <w:bookmarkEnd w:id="5"/>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优质教育资源仍未能适应人民群众的要求，教育对经济和社会发展的支撑力仍不够充分，学前教育资源还未达到普及普惠优质发展水平。</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1.优质教育资源未能适应人民群众的要求。</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shd w:val="clear" w:color="auto" w:fill="FFFFFF"/>
        </w:rPr>
        <w:t>县域内学校间义务教育办学水平和教育质量还存在一定的差距，县城和中心区域基础教育学位供给压力仍然较大。</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公办幼儿园占比未达标。目前我市公办幼儿园在园幼儿占比3</w:t>
      </w:r>
      <w:r>
        <w:rPr>
          <w:rFonts w:hint="eastAsia" w:ascii="仿宋_GB2312" w:hAnsi="仿宋_GB2312" w:eastAsia="仿宋_GB2312" w:cs="仿宋_GB2312"/>
          <w:color w:val="auto"/>
          <w:spacing w:val="0"/>
          <w:sz w:val="32"/>
          <w:szCs w:val="32"/>
          <w:highlight w:val="none"/>
          <w:lang w:val="en-US" w:eastAsia="zh-CN"/>
        </w:rPr>
        <w:t>8</w:t>
      </w:r>
      <w:r>
        <w:rPr>
          <w:rFonts w:hint="eastAsia" w:ascii="仿宋_GB2312" w:hAnsi="仿宋_GB2312" w:eastAsia="仿宋_GB2312" w:cs="仿宋_GB2312"/>
          <w:color w:val="auto"/>
          <w:spacing w:val="0"/>
          <w:sz w:val="32"/>
          <w:szCs w:val="32"/>
          <w:highlight w:val="none"/>
        </w:rPr>
        <w:t>.</w:t>
      </w:r>
      <w:r>
        <w:rPr>
          <w:rFonts w:hint="eastAsia" w:ascii="仿宋_GB2312" w:hAnsi="仿宋_GB2312" w:eastAsia="仿宋_GB2312" w:cs="仿宋_GB2312"/>
          <w:color w:val="auto"/>
          <w:spacing w:val="0"/>
          <w:sz w:val="32"/>
          <w:szCs w:val="32"/>
          <w:highlight w:val="none"/>
          <w:lang w:val="en-US" w:eastAsia="zh-CN"/>
        </w:rPr>
        <w:t>4</w:t>
      </w:r>
      <w:r>
        <w:rPr>
          <w:rFonts w:hint="eastAsia" w:ascii="仿宋_GB2312" w:hAnsi="仿宋_GB2312" w:eastAsia="仿宋_GB2312" w:cs="仿宋_GB2312"/>
          <w:color w:val="auto"/>
          <w:spacing w:val="0"/>
          <w:sz w:val="32"/>
          <w:szCs w:val="32"/>
          <w:highlight w:val="none"/>
        </w:rPr>
        <w:t>%，距离学前教育“50”目标还有一定差距，要实现学前教育“50”目标，要投入大量资金，对于北部山区县本地财政难以解决；同时，幼儿师资也非常紧缺，需要增加幼儿教师编制以满足幼儿教学工作；乡村学前教育幼儿生源分散，我市还未能实施安排校车接送幼儿到乡镇中心幼儿园就读的交通解决办法。</w:t>
      </w:r>
    </w:p>
    <w:p>
      <w:pPr>
        <w:pStyle w:val="21"/>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深化普通高中育人方式改革、推进普通高中优质特色多样化发展、提高普通高中教育质量工作有待加强。</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2.师资队伍建设整体上跟不上教育发展要求。</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shd w:val="clear" w:color="auto" w:fill="FFFFFF"/>
        </w:rPr>
        <w:t>教师队伍水平有待进一步提升。教师学段结构、学科结构、年龄结构仍需进一步优化，信息技术与学科教育深度融合的能力仍有待进一步加强，教师的管理机制尤其是“系统人”的改革仍待进一步完善。</w:t>
      </w:r>
    </w:p>
    <w:p>
      <w:pPr>
        <w:keepNext w:val="0"/>
        <w:keepLines w:val="0"/>
        <w:pageBreakBefore w:val="0"/>
        <w:widowControl w:val="0"/>
        <w:kinsoku/>
        <w:wordWrap/>
        <w:overflowPunct/>
        <w:topLinePunct w:val="0"/>
        <w:autoSpaceDE/>
        <w:autoSpaceDN/>
        <w:bidi w:val="0"/>
        <w:adjustRightInd/>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一是教师存在老龄化问题。</w:t>
      </w:r>
      <w:r>
        <w:rPr>
          <w:rFonts w:hint="eastAsia" w:ascii="仿宋_GB2312" w:hAnsi="仿宋_GB2312" w:eastAsia="仿宋_GB2312" w:cs="仿宋_GB2312"/>
          <w:color w:val="auto"/>
          <w:spacing w:val="0"/>
          <w:sz w:val="32"/>
          <w:szCs w:val="32"/>
          <w:highlight w:val="none"/>
        </w:rPr>
        <w:t>2020年教师队伍平均年龄为45.2岁，35岁以下的年轻教师仅占15%左右。尤其是边远山区学校老弱病残人员居多。中小学教师年龄偏大，对接受和更新教育教学的新理念、新知识、新方法，特别是用信息化推动现代化教学存在困难，影响学校活力，影响教学质量的提高。</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二是学科教师的结构不合理</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小学“小五科”教师严重不足，法治、心理专职教师欠缺，无法按照国家课程标准开足开齐课时。乡村学校教师整体水平相对较低而且数量不足，专业不对口，一名教师往往要承担几门课程。乡村学校师资数量与水平上的差别，成为乡村学校与城镇学校教育质量差距加大的重要原因，成为义务教育均衡发展和素质教育全面实施的关键问题。</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三是幼儿园教师专业水平有待提高。</w:t>
      </w:r>
      <w:r>
        <w:rPr>
          <w:rFonts w:hint="eastAsia" w:ascii="仿宋_GB2312" w:hAnsi="仿宋_GB2312" w:eastAsia="仿宋_GB2312" w:cs="仿宋_GB2312"/>
          <w:color w:val="auto"/>
          <w:spacing w:val="0"/>
          <w:sz w:val="32"/>
          <w:szCs w:val="32"/>
          <w:highlight w:val="none"/>
        </w:rPr>
        <w:t>幼儿园教师大部分是近几年新招聘的，经验不足，且因招聘困难，新招聘幼儿园教师并非全为学前教育专业毕业，专业水平有待提高。</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四是教师队伍能力</w:t>
      </w:r>
      <w:r>
        <w:rPr>
          <w:rFonts w:hint="eastAsia" w:ascii="仿宋_GB2312" w:hAnsi="仿宋_GB2312" w:eastAsia="仿宋_GB2312" w:cs="仿宋_GB2312"/>
          <w:b/>
          <w:bCs/>
          <w:color w:val="auto"/>
          <w:spacing w:val="0"/>
          <w:sz w:val="32"/>
          <w:szCs w:val="32"/>
          <w:highlight w:val="none"/>
          <w:lang w:eastAsia="zh-CN"/>
        </w:rPr>
        <w:t>有待提升</w:t>
      </w:r>
      <w:r>
        <w:rPr>
          <w:rFonts w:hint="eastAsia"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color w:val="auto"/>
          <w:spacing w:val="0"/>
          <w:sz w:val="32"/>
          <w:szCs w:val="32"/>
          <w:highlight w:val="none"/>
        </w:rPr>
        <w:t>由于教师队伍的年龄老化，整个队伍总体上适应现代化教育教学的能力不足，大部分教师还停留在一支粉笔一块黑板一张讲台的传统能力和方法上，缺乏继续学习的能力、自我更新的能力、创新思维的能力、创新方法的能力，不能适应和支撑教</w:t>
      </w:r>
      <w:r>
        <w:rPr>
          <w:rFonts w:hint="eastAsia" w:ascii="仿宋_GB2312" w:hAnsi="仿宋_GB2312" w:eastAsia="仿宋_GB2312" w:cs="仿宋_GB2312"/>
          <w:color w:val="auto"/>
          <w:spacing w:val="0"/>
          <w:sz w:val="32"/>
          <w:szCs w:val="32"/>
          <w:highlight w:val="none"/>
          <w:lang w:eastAsia="zh-CN"/>
        </w:rPr>
        <w:t>育</w:t>
      </w:r>
      <w:r>
        <w:rPr>
          <w:rFonts w:hint="eastAsia" w:ascii="仿宋_GB2312" w:hAnsi="仿宋_GB2312" w:eastAsia="仿宋_GB2312" w:cs="仿宋_GB2312"/>
          <w:color w:val="auto"/>
          <w:spacing w:val="0"/>
          <w:sz w:val="32"/>
          <w:szCs w:val="32"/>
          <w:highlight w:val="none"/>
        </w:rPr>
        <w:t>信息化和现代化的需要。教师中缺乏敬业精神、违反教师职业道德和违反工作纪律、工作马虎应付、教态教风不正、有偿补课等现象还存在。</w:t>
      </w:r>
    </w:p>
    <w:p>
      <w:pPr>
        <w:pStyle w:val="21"/>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五是教师补充难。</w:t>
      </w:r>
      <w:r>
        <w:rPr>
          <w:rFonts w:hint="eastAsia" w:ascii="仿宋_GB2312" w:hAnsi="仿宋_GB2312" w:eastAsia="仿宋_GB2312" w:cs="仿宋_GB2312"/>
          <w:color w:val="auto"/>
          <w:spacing w:val="0"/>
          <w:sz w:val="32"/>
          <w:szCs w:val="32"/>
          <w:highlight w:val="none"/>
        </w:rPr>
        <w:t>教师编制短缺和招聘困难成为教育健康发展的瓶颈。尤其是</w:t>
      </w:r>
      <w:r>
        <w:rPr>
          <w:rFonts w:hint="eastAsia" w:ascii="仿宋_GB2312" w:hAnsi="仿宋_GB2312" w:eastAsia="仿宋_GB2312" w:cs="仿宋_GB2312"/>
          <w:color w:val="auto"/>
          <w:spacing w:val="0"/>
          <w:sz w:val="32"/>
          <w:szCs w:val="32"/>
          <w:highlight w:val="none"/>
          <w:shd w:val="clear" w:color="auto" w:fill="FFFFFF"/>
        </w:rPr>
        <w:t>近年国家大力推行素质教育、新课程改革，课程门类增多，对教师的配置提出更高的要求。受</w:t>
      </w:r>
      <w:r>
        <w:rPr>
          <w:rFonts w:hint="eastAsia" w:ascii="仿宋_GB2312" w:hAnsi="仿宋_GB2312" w:eastAsia="仿宋_GB2312" w:cs="仿宋_GB2312"/>
          <w:color w:val="auto"/>
          <w:spacing w:val="0"/>
          <w:sz w:val="32"/>
          <w:szCs w:val="32"/>
          <w:highlight w:val="none"/>
        </w:rPr>
        <w:t>当地经济、社会的发展的影响，教师招聘存在困难，而且招聘的新教师流失情况也比较严重，近5年招聘的年轻教师有近10%辞职。</w:t>
      </w:r>
    </w:p>
    <w:p>
      <w:pPr>
        <w:pStyle w:val="21"/>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此外，学校心理教师、医务保健人员、安保人员的配置也存在人员不足、专业性不强等问题。</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3.职业教育未能适应经济建设对技能型人才培养的需求。</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广东省连州卫生学校受办学场地限制，办学达标建设难以推进，需尽快异地迁建。连州市职业技术学校优质专业打造水平、区域影响力和对学生的吸引力有待提高。</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4.教育信息化水平还未能达到支撑教育快速发展的需求。</w:t>
      </w:r>
    </w:p>
    <w:p>
      <w:pPr>
        <w:keepNext w:val="0"/>
        <w:keepLines w:val="0"/>
        <w:pageBreakBefore w:val="0"/>
        <w:widowControl w:val="0"/>
        <w:kinsoku/>
        <w:wordWrap/>
        <w:overflowPunct/>
        <w:topLinePunct w:val="0"/>
        <w:autoSpaceDE/>
        <w:autoSpaceDN/>
        <w:bidi w:val="0"/>
        <w:adjustRightInd/>
        <w:snapToGrid w:val="0"/>
        <w:spacing w:afterAutospacing="0" w:line="560" w:lineRule="exact"/>
        <w:ind w:left="0" w:leftChars="0" w:right="0" w:firstLine="606" w:firstLineChars="200"/>
        <w:textAlignment w:val="auto"/>
        <w:rPr>
          <w:rFonts w:hint="eastAsia" w:ascii="仿宋_GB2312" w:hAnsi="仿宋_GB2312" w:eastAsia="仿宋_GB2312" w:cs="仿宋_GB2312"/>
          <w:b w:val="0"/>
          <w:bCs w:val="0"/>
          <w:color w:val="auto"/>
          <w:spacing w:val="0"/>
          <w:sz w:val="32"/>
          <w:szCs w:val="32"/>
          <w:highlight w:val="none"/>
        </w:rPr>
      </w:pPr>
      <w:r>
        <w:rPr>
          <w:rFonts w:hint="eastAsia" w:ascii="仿宋_GB2312" w:hAnsi="仿宋_GB2312" w:eastAsia="仿宋_GB2312" w:cs="仿宋_GB2312"/>
          <w:b w:val="0"/>
          <w:bCs w:val="0"/>
          <w:color w:val="auto"/>
          <w:spacing w:val="0"/>
          <w:sz w:val="32"/>
          <w:szCs w:val="32"/>
          <w:highlight w:val="none"/>
        </w:rPr>
        <w:t>我市在创建教育现代化先进市时虽然加大了信息化的投入，但在教育信息化设施的配备上还有一定程度的欠账，教师信息</w:t>
      </w:r>
      <w:r>
        <w:rPr>
          <w:rFonts w:hint="eastAsia" w:ascii="仿宋_GB2312" w:hAnsi="仿宋_GB2312" w:eastAsia="仿宋_GB2312" w:cs="仿宋_GB2312"/>
          <w:b w:val="0"/>
          <w:bCs w:val="0"/>
          <w:color w:val="auto"/>
          <w:spacing w:val="0"/>
          <w:sz w:val="32"/>
          <w:szCs w:val="32"/>
          <w:highlight w:val="none"/>
          <w:lang w:eastAsia="zh-CN"/>
        </w:rPr>
        <w:t>技术</w:t>
      </w:r>
      <w:r>
        <w:rPr>
          <w:rFonts w:hint="eastAsia" w:ascii="仿宋_GB2312" w:hAnsi="仿宋_GB2312" w:eastAsia="仿宋_GB2312" w:cs="仿宋_GB2312"/>
          <w:b w:val="0"/>
          <w:bCs w:val="0"/>
          <w:color w:val="auto"/>
          <w:spacing w:val="0"/>
          <w:sz w:val="32"/>
          <w:szCs w:val="32"/>
          <w:highlight w:val="none"/>
        </w:rPr>
        <w:t>应用能力还不</w:t>
      </w:r>
      <w:r>
        <w:rPr>
          <w:rFonts w:hint="eastAsia" w:ascii="仿宋_GB2312" w:hAnsi="仿宋_GB2312" w:eastAsia="仿宋_GB2312" w:cs="仿宋_GB2312"/>
          <w:b w:val="0"/>
          <w:bCs w:val="0"/>
          <w:color w:val="auto"/>
          <w:spacing w:val="0"/>
          <w:sz w:val="32"/>
          <w:szCs w:val="32"/>
          <w:highlight w:val="none"/>
          <w:lang w:eastAsia="zh-CN"/>
        </w:rPr>
        <w:t>强</w:t>
      </w:r>
      <w:r>
        <w:rPr>
          <w:rFonts w:hint="eastAsia" w:ascii="仿宋_GB2312" w:hAnsi="仿宋_GB2312" w:eastAsia="仿宋_GB2312" w:cs="仿宋_GB2312"/>
          <w:b w:val="0"/>
          <w:bCs w:val="0"/>
          <w:color w:val="auto"/>
          <w:spacing w:val="0"/>
          <w:sz w:val="32"/>
          <w:szCs w:val="32"/>
          <w:highlight w:val="none"/>
        </w:rPr>
        <w:t>，信息</w:t>
      </w:r>
      <w:r>
        <w:rPr>
          <w:rFonts w:hint="eastAsia" w:ascii="仿宋_GB2312" w:hAnsi="仿宋_GB2312" w:eastAsia="仿宋_GB2312" w:cs="仿宋_GB2312"/>
          <w:b w:val="0"/>
          <w:bCs w:val="0"/>
          <w:color w:val="auto"/>
          <w:spacing w:val="0"/>
          <w:sz w:val="32"/>
          <w:szCs w:val="32"/>
          <w:highlight w:val="none"/>
          <w:lang w:eastAsia="zh-CN"/>
        </w:rPr>
        <w:t>技术与</w:t>
      </w:r>
      <w:r>
        <w:rPr>
          <w:rFonts w:hint="eastAsia" w:ascii="仿宋_GB2312" w:hAnsi="仿宋_GB2312" w:eastAsia="仿宋_GB2312" w:cs="仿宋_GB2312"/>
          <w:b w:val="0"/>
          <w:bCs w:val="0"/>
          <w:color w:val="auto"/>
          <w:spacing w:val="0"/>
          <w:sz w:val="32"/>
          <w:szCs w:val="32"/>
          <w:highlight w:val="none"/>
        </w:rPr>
        <w:t>教学</w:t>
      </w:r>
      <w:r>
        <w:rPr>
          <w:rFonts w:hint="eastAsia" w:ascii="仿宋_GB2312" w:hAnsi="仿宋_GB2312" w:eastAsia="仿宋_GB2312" w:cs="仿宋_GB2312"/>
          <w:b w:val="0"/>
          <w:bCs w:val="0"/>
          <w:color w:val="auto"/>
          <w:spacing w:val="0"/>
          <w:sz w:val="32"/>
          <w:szCs w:val="32"/>
          <w:highlight w:val="none"/>
          <w:lang w:eastAsia="zh-CN"/>
        </w:rPr>
        <w:t>融合创新</w:t>
      </w:r>
      <w:r>
        <w:rPr>
          <w:rFonts w:hint="eastAsia" w:ascii="仿宋_GB2312" w:hAnsi="仿宋_GB2312" w:eastAsia="仿宋_GB2312" w:cs="仿宋_GB2312"/>
          <w:b w:val="0"/>
          <w:bCs w:val="0"/>
          <w:color w:val="auto"/>
          <w:spacing w:val="0"/>
          <w:sz w:val="32"/>
          <w:szCs w:val="32"/>
          <w:highlight w:val="none"/>
        </w:rPr>
        <w:t>不充分，运用信息化</w:t>
      </w:r>
      <w:r>
        <w:rPr>
          <w:rFonts w:hint="eastAsia" w:ascii="仿宋_GB2312" w:hAnsi="仿宋_GB2312" w:eastAsia="仿宋_GB2312" w:cs="仿宋_GB2312"/>
          <w:b w:val="0"/>
          <w:bCs w:val="0"/>
          <w:color w:val="auto"/>
          <w:spacing w:val="0"/>
          <w:sz w:val="32"/>
          <w:szCs w:val="32"/>
          <w:highlight w:val="none"/>
          <w:lang w:eastAsia="zh-CN"/>
        </w:rPr>
        <w:t>手段</w:t>
      </w:r>
      <w:r>
        <w:rPr>
          <w:rFonts w:hint="eastAsia" w:ascii="仿宋_GB2312" w:hAnsi="仿宋_GB2312" w:eastAsia="仿宋_GB2312" w:cs="仿宋_GB2312"/>
          <w:b w:val="0"/>
          <w:bCs w:val="0"/>
          <w:color w:val="auto"/>
          <w:spacing w:val="0"/>
          <w:sz w:val="32"/>
          <w:szCs w:val="32"/>
          <w:highlight w:val="none"/>
        </w:rPr>
        <w:t>提高教育教学质量和教育管理效率不</w:t>
      </w:r>
      <w:r>
        <w:rPr>
          <w:rFonts w:hint="eastAsia" w:ascii="仿宋_GB2312" w:hAnsi="仿宋_GB2312" w:eastAsia="仿宋_GB2312" w:cs="仿宋_GB2312"/>
          <w:b w:val="0"/>
          <w:bCs w:val="0"/>
          <w:color w:val="auto"/>
          <w:spacing w:val="0"/>
          <w:sz w:val="32"/>
          <w:szCs w:val="32"/>
          <w:highlight w:val="none"/>
          <w:lang w:eastAsia="zh-CN"/>
        </w:rPr>
        <w:t>高</w:t>
      </w:r>
      <w:r>
        <w:rPr>
          <w:rFonts w:hint="eastAsia" w:ascii="仿宋_GB2312" w:hAnsi="仿宋_GB2312" w:eastAsia="仿宋_GB2312" w:cs="仿宋_GB2312"/>
          <w:b w:val="0"/>
          <w:bCs w:val="0"/>
          <w:color w:val="auto"/>
          <w:spacing w:val="0"/>
          <w:sz w:val="32"/>
          <w:szCs w:val="32"/>
          <w:highlight w:val="none"/>
        </w:rPr>
        <w:t>。</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5.家校社共育的状况未能适应现今社会发展的需要。</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据调查，学生家长真正认识到自己对子女教育负有责任，并能较好地担当起这一责任的家庭只占15％。85％的家庭认为只要让孩子衣食不缺就可以了，而教育的责任在教师、在学校。这种家庭教育理念和思想认识，大大增加了学校对这</w:t>
      </w:r>
      <w:r>
        <w:rPr>
          <w:rFonts w:hint="eastAsia" w:ascii="仿宋_GB2312" w:hAnsi="仿宋_GB2312" w:eastAsia="仿宋_GB2312" w:cs="仿宋_GB2312"/>
          <w:color w:val="auto"/>
          <w:spacing w:val="0"/>
          <w:sz w:val="32"/>
          <w:szCs w:val="32"/>
          <w:highlight w:val="none"/>
          <w:lang w:eastAsia="zh-CN"/>
        </w:rPr>
        <w:t>部分</w:t>
      </w:r>
      <w:r>
        <w:rPr>
          <w:rFonts w:hint="eastAsia" w:ascii="仿宋_GB2312" w:hAnsi="仿宋_GB2312" w:eastAsia="仿宋_GB2312" w:cs="仿宋_GB2312"/>
          <w:color w:val="auto"/>
          <w:spacing w:val="0"/>
          <w:sz w:val="32"/>
          <w:szCs w:val="32"/>
          <w:highlight w:val="none"/>
        </w:rPr>
        <w:t>学生教育管理的难度。家长与教师之间缺乏有效的沟通，学校与家庭、社会未能形成教育合力，家校社共育的格局尚未形成。</w:t>
      </w:r>
    </w:p>
    <w:p>
      <w:pPr>
        <w:pageBreakBefore w:val="0"/>
        <w:kinsoku/>
        <w:overflowPunct/>
        <w:topLinePunct w:val="0"/>
        <w:bidi w:val="0"/>
        <w:snapToGrid w:val="0"/>
        <w:spacing w:line="520" w:lineRule="exact"/>
        <w:ind w:firstLine="606" w:firstLineChars="200"/>
        <w:rPr>
          <w:rFonts w:ascii="仿宋_GB2312" w:hAnsi="仿宋_GB2312" w:eastAsia="仿宋_GB2312" w:cs="仿宋_GB2312"/>
          <w:color w:val="auto"/>
          <w:spacing w:val="0"/>
          <w:sz w:val="32"/>
          <w:szCs w:val="32"/>
          <w:highlight w:val="none"/>
        </w:rPr>
      </w:pPr>
    </w:p>
    <w:p>
      <w:pPr>
        <w:pStyle w:val="2"/>
        <w:pageBreakBefore w:val="0"/>
        <w:kinsoku/>
        <w:overflowPunct/>
        <w:topLinePunct w:val="0"/>
        <w:bidi w:val="0"/>
        <w:spacing w:before="289" w:after="289" w:line="520" w:lineRule="exact"/>
        <w:rPr>
          <w:rFonts w:hint="eastAsia" w:ascii="方正小标宋_GBK" w:hAnsi="方正小标宋_GBK" w:eastAsia="方正小标宋_GBK" w:cs="方正小标宋_GBK"/>
          <w:b/>
          <w:bCs/>
          <w:color w:val="auto"/>
          <w:spacing w:val="0"/>
          <w:highlight w:val="none"/>
        </w:rPr>
      </w:pPr>
      <w:bookmarkStart w:id="6" w:name="_Toc124060246"/>
      <w:r>
        <w:rPr>
          <w:rFonts w:hint="eastAsia" w:ascii="方正小标宋_GBK" w:hAnsi="方正小标宋_GBK" w:eastAsia="方正小标宋_GBK" w:cs="方正小标宋_GBK"/>
          <w:b/>
          <w:bCs/>
          <w:color w:val="auto"/>
          <w:spacing w:val="0"/>
          <w:highlight w:val="none"/>
        </w:rPr>
        <w:t>第二章  指导思想与发展思路</w:t>
      </w:r>
      <w:bookmarkEnd w:id="6"/>
    </w:p>
    <w:p>
      <w:pPr>
        <w:pStyle w:val="3"/>
        <w:pageBreakBefore w:val="0"/>
        <w:kinsoku/>
        <w:overflowPunct/>
        <w:topLinePunct w:val="0"/>
        <w:bidi w:val="0"/>
        <w:spacing w:before="289" w:after="289" w:line="520" w:lineRule="exact"/>
        <w:jc w:val="center"/>
        <w:rPr>
          <w:rFonts w:hint="eastAsia" w:ascii="黑体" w:hAnsi="黑体" w:eastAsia="黑体" w:cs="黑体"/>
          <w:b w:val="0"/>
          <w:bCs w:val="0"/>
          <w:color w:val="auto"/>
          <w:spacing w:val="0"/>
          <w:sz w:val="32"/>
          <w:szCs w:val="32"/>
          <w:highlight w:val="none"/>
        </w:rPr>
      </w:pPr>
      <w:bookmarkStart w:id="7" w:name="_Toc124060247"/>
      <w:r>
        <w:rPr>
          <w:rFonts w:hint="eastAsia" w:ascii="黑体" w:hAnsi="黑体" w:eastAsia="黑体" w:cs="黑体"/>
          <w:b w:val="0"/>
          <w:bCs w:val="0"/>
          <w:color w:val="auto"/>
          <w:spacing w:val="0"/>
          <w:sz w:val="32"/>
          <w:szCs w:val="32"/>
          <w:highlight w:val="none"/>
        </w:rPr>
        <w:t>第一节  指导思想</w:t>
      </w:r>
      <w:bookmarkEnd w:id="7"/>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以习近平新时代中国特色社会主义思想为指导，以《中共中央关于制定国民经济和社会发展第十四个五年规划和二〇三五年远景目标的建议》为引领，坚持党的全面领导，坚持以人民为中心，坚持新发展理念，坚持深化改革开放，坚持系统观念，坚持稳中求进工作总基调，以适应连州市经济建设和社会发展需要为目标，以满足人民群众对教育的需求为落脚点，从连州市教育发展的实际出发，全力破解山区教育发展难题，把握发展新阶段，构建发展新格局，全面贯彻党的教育方针，坚持立德树人，加强师德师风建设，深化教育教学改革，完善终身教育体系，培养德智体美劳全面发展的社会主义建设者和接班人，为全面建设社会主义现代化</w:t>
      </w:r>
      <w:r>
        <w:rPr>
          <w:rFonts w:hint="eastAsia" w:ascii="仿宋_GB2312" w:hAnsi="仿宋_GB2312" w:eastAsia="仿宋_GB2312" w:cs="仿宋_GB2312"/>
          <w:color w:val="auto"/>
          <w:spacing w:val="0"/>
          <w:sz w:val="32"/>
          <w:szCs w:val="32"/>
          <w:highlight w:val="none"/>
          <w:lang w:val="en-US" w:eastAsia="zh-CN"/>
        </w:rPr>
        <w:t>国家</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谱写新时代连州高质量发展</w:t>
      </w:r>
      <w:r>
        <w:rPr>
          <w:rFonts w:hint="eastAsia" w:ascii="仿宋_GB2312" w:hAnsi="仿宋_GB2312" w:eastAsia="仿宋_GB2312" w:cs="仿宋_GB2312"/>
          <w:color w:val="auto"/>
          <w:spacing w:val="0"/>
          <w:sz w:val="32"/>
          <w:szCs w:val="32"/>
          <w:highlight w:val="none"/>
          <w:lang w:eastAsia="zh-CN"/>
        </w:rPr>
        <w:t>做</w:t>
      </w:r>
      <w:r>
        <w:rPr>
          <w:rFonts w:hint="eastAsia" w:ascii="仿宋_GB2312" w:hAnsi="仿宋_GB2312" w:eastAsia="仿宋_GB2312" w:cs="仿宋_GB2312"/>
          <w:color w:val="auto"/>
          <w:spacing w:val="0"/>
          <w:sz w:val="32"/>
          <w:szCs w:val="32"/>
          <w:highlight w:val="none"/>
        </w:rPr>
        <w:t>新贡献。</w:t>
      </w:r>
    </w:p>
    <w:p>
      <w:pPr>
        <w:pStyle w:val="3"/>
        <w:pageBreakBefore w:val="0"/>
        <w:kinsoku/>
        <w:overflowPunct/>
        <w:topLinePunct w:val="0"/>
        <w:bidi w:val="0"/>
        <w:spacing w:before="289" w:after="289" w:line="520" w:lineRule="exact"/>
        <w:jc w:val="center"/>
        <w:rPr>
          <w:rFonts w:hint="eastAsia" w:ascii="黑体" w:hAnsi="黑体" w:eastAsia="黑体" w:cs="黑体"/>
          <w:color w:val="auto"/>
          <w:spacing w:val="0"/>
          <w:sz w:val="32"/>
          <w:szCs w:val="32"/>
          <w:highlight w:val="none"/>
        </w:rPr>
      </w:pPr>
      <w:bookmarkStart w:id="8" w:name="_Toc124060248"/>
      <w:r>
        <w:rPr>
          <w:rFonts w:hint="eastAsia" w:ascii="黑体" w:hAnsi="黑体" w:eastAsia="黑体" w:cs="黑体"/>
          <w:color w:val="auto"/>
          <w:spacing w:val="0"/>
          <w:sz w:val="32"/>
          <w:szCs w:val="32"/>
          <w:highlight w:val="none"/>
        </w:rPr>
        <w:t>第二节  发展原则</w:t>
      </w:r>
      <w:bookmarkEnd w:id="8"/>
    </w:p>
    <w:p>
      <w:pPr>
        <w:pStyle w:val="11"/>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1.优先发展，统筹规划。</w:t>
      </w:r>
      <w:r>
        <w:rPr>
          <w:rFonts w:hint="eastAsia" w:ascii="仿宋_GB2312" w:hAnsi="仿宋_GB2312" w:eastAsia="仿宋_GB2312" w:cs="仿宋_GB2312"/>
          <w:color w:val="auto"/>
          <w:spacing w:val="0"/>
          <w:kern w:val="2"/>
          <w:sz w:val="32"/>
          <w:szCs w:val="32"/>
          <w:highlight w:val="none"/>
        </w:rPr>
        <w:t>坚持教育优先发展的方针，加大教育投入，推进教育的供给侧结构性改革，协调教育与经济建设、社会发展的关系，协调各级各类教育之间的关系，补短板，优结构，促发展，形成城乡教育协调发展、各类教育相互沟通，各层次教育衔接顺畅、体现终身教育理念，具有连州特色的现代教育体系。</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2.育人为本，面向全体。</w:t>
      </w:r>
      <w:r>
        <w:rPr>
          <w:rFonts w:hint="eastAsia" w:ascii="仿宋_GB2312" w:hAnsi="仿宋_GB2312" w:eastAsia="仿宋_GB2312" w:cs="仿宋_GB2312"/>
          <w:color w:val="auto"/>
          <w:spacing w:val="0"/>
          <w:kern w:val="2"/>
          <w:sz w:val="32"/>
          <w:szCs w:val="32"/>
          <w:highlight w:val="none"/>
        </w:rPr>
        <w:t>坚持党的教育方针，全面贯彻立德树人的理念，开展素质教育，注重学生综合素质的提升，培养德智体美劳全面发展的社会主义建设者和接班人。要面向全体学生，让全体学生都能接受优质教育；在做好青少年教育的同时，面向全体社会成员构建终身教育体系，建立人人皆学、时时能学、处处可学的学习型社会。</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3.公益公平，普及普惠。</w:t>
      </w:r>
      <w:r>
        <w:rPr>
          <w:rFonts w:hint="eastAsia" w:ascii="仿宋_GB2312" w:hAnsi="仿宋_GB2312" w:eastAsia="仿宋_GB2312" w:cs="仿宋_GB2312"/>
          <w:color w:val="auto"/>
          <w:spacing w:val="0"/>
          <w:sz w:val="32"/>
          <w:szCs w:val="32"/>
          <w:highlight w:val="none"/>
        </w:rPr>
        <w:t>坚持教育的公益性原则、公平性原则，坚持以人民为中心，明确教育服务于人民</w:t>
      </w:r>
      <w:r>
        <w:rPr>
          <w:rFonts w:hint="eastAsia" w:ascii="仿宋_GB2312" w:hAnsi="仿宋_GB2312" w:eastAsia="仿宋_GB2312" w:cs="仿宋_GB2312"/>
          <w:color w:val="auto"/>
          <w:spacing w:val="0"/>
          <w:sz w:val="32"/>
          <w:szCs w:val="32"/>
          <w:highlight w:val="none"/>
          <w:lang w:eastAsia="zh-CN"/>
        </w:rPr>
        <w:t>群众</w:t>
      </w:r>
      <w:r>
        <w:rPr>
          <w:rFonts w:hint="eastAsia" w:ascii="仿宋_GB2312" w:hAnsi="仿宋_GB2312" w:eastAsia="仿宋_GB2312" w:cs="仿宋_GB2312"/>
          <w:color w:val="auto"/>
          <w:spacing w:val="0"/>
          <w:sz w:val="32"/>
          <w:szCs w:val="32"/>
          <w:highlight w:val="none"/>
        </w:rPr>
        <w:t>的需要、服务于经济建设和社会发展的需要的宗旨，教育的发展要公平地惠及全民；完善办学体制、教育管理机制、质量评价体系，提高教育治理能力，建立体现公平普惠的教育体系，让人民群众有更多的获得感。</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4.扩大开放，融合发展。</w:t>
      </w:r>
      <w:r>
        <w:rPr>
          <w:rFonts w:hint="eastAsia" w:ascii="仿宋_GB2312" w:hAnsi="仿宋_GB2312" w:eastAsia="仿宋_GB2312" w:cs="仿宋_GB2312"/>
          <w:color w:val="auto"/>
          <w:spacing w:val="0"/>
          <w:sz w:val="32"/>
          <w:szCs w:val="32"/>
          <w:highlight w:val="none"/>
        </w:rPr>
        <w:t>要进一步扩大开放，加大广清协作力度，加快“入珠融湾”步伐，积极引进粤港澳大湾区的优质教育资源，加强与“双区”教育改革创新、信息互联、产学共研、学习交流等合作，带动人才培育，促进区域合作发展。同时，加大“三连一阳”区域合作，形成连州教育带动清远北部地区实现区域一体化发展的格局。</w:t>
      </w:r>
    </w:p>
    <w:p>
      <w:pPr>
        <w:pStyle w:val="3"/>
        <w:pageBreakBefore w:val="0"/>
        <w:kinsoku/>
        <w:overflowPunct/>
        <w:topLinePunct w:val="0"/>
        <w:bidi w:val="0"/>
        <w:spacing w:before="289" w:after="289" w:line="520" w:lineRule="exact"/>
        <w:jc w:val="center"/>
        <w:rPr>
          <w:rFonts w:hint="eastAsia" w:ascii="黑体" w:hAnsi="黑体" w:eastAsia="黑体" w:cs="黑体"/>
          <w:color w:val="auto"/>
          <w:spacing w:val="0"/>
          <w:sz w:val="32"/>
          <w:szCs w:val="32"/>
          <w:highlight w:val="none"/>
        </w:rPr>
      </w:pPr>
      <w:bookmarkStart w:id="9" w:name="_Toc124060249"/>
      <w:r>
        <w:rPr>
          <w:rFonts w:hint="eastAsia" w:ascii="黑体" w:hAnsi="黑体" w:eastAsia="黑体" w:cs="黑体"/>
          <w:color w:val="auto"/>
          <w:spacing w:val="0"/>
          <w:sz w:val="32"/>
          <w:szCs w:val="32"/>
          <w:highlight w:val="none"/>
        </w:rPr>
        <w:t>第三节  发展思路</w:t>
      </w:r>
      <w:bookmarkEnd w:id="9"/>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1.以质量发展为主线。</w:t>
      </w:r>
      <w:r>
        <w:rPr>
          <w:rFonts w:hint="eastAsia" w:ascii="仿宋_GB2312" w:hAnsi="仿宋_GB2312" w:eastAsia="仿宋_GB2312" w:cs="仿宋_GB2312"/>
          <w:color w:val="auto"/>
          <w:spacing w:val="0"/>
          <w:sz w:val="32"/>
          <w:szCs w:val="32"/>
          <w:highlight w:val="none"/>
        </w:rPr>
        <w:t>要坚持新发展理念，建设高质量教育体系，在教育布局、基础设施、教育水平、教学质量、教育投入、教育评价、教育治理等方面，以高质量高水平建设为目标，推动质量变革、效率变革、动力变革，实现教育更高质量、更有效率、更加公平的发展。</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2.以补短培优为抓手。</w:t>
      </w:r>
      <w:r>
        <w:rPr>
          <w:rFonts w:hint="eastAsia" w:ascii="仿宋_GB2312" w:hAnsi="仿宋_GB2312" w:eastAsia="仿宋_GB2312" w:cs="仿宋_GB2312"/>
          <w:color w:val="auto"/>
          <w:spacing w:val="0"/>
          <w:sz w:val="32"/>
          <w:szCs w:val="32"/>
          <w:highlight w:val="none"/>
        </w:rPr>
        <w:t>要抓住教育发展中的不平衡、不充分的问题，以问题为导向，补短板、强弱项，要特别重视解决农村教育水平不够高和学前教育公办园学位不足等问题，加快教育城乡一体化和学前教育发展；同时，积极培育优质、优势、特色的教育项目，发挥其引领作用，更好地推动教育的高质量发展。</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3.以改革创新为动力。</w:t>
      </w:r>
      <w:r>
        <w:rPr>
          <w:rFonts w:hint="eastAsia" w:ascii="仿宋_GB2312" w:hAnsi="仿宋_GB2312" w:eastAsia="仿宋_GB2312" w:cs="仿宋_GB2312"/>
          <w:color w:val="auto"/>
          <w:spacing w:val="0"/>
          <w:sz w:val="32"/>
          <w:szCs w:val="32"/>
          <w:highlight w:val="none"/>
        </w:rPr>
        <w:t>要</w:t>
      </w:r>
      <w:r>
        <w:rPr>
          <w:rFonts w:hint="eastAsia" w:ascii="仿宋_GB2312" w:hAnsi="仿宋_GB2312" w:eastAsia="仿宋_GB2312" w:cs="仿宋_GB2312"/>
          <w:color w:val="auto"/>
          <w:spacing w:val="0"/>
          <w:sz w:val="32"/>
          <w:szCs w:val="32"/>
          <w:highlight w:val="none"/>
          <w:lang w:eastAsia="zh-CN"/>
        </w:rPr>
        <w:t>坚定不移地</w:t>
      </w:r>
      <w:r>
        <w:rPr>
          <w:rFonts w:hint="eastAsia" w:ascii="仿宋_GB2312" w:hAnsi="仿宋_GB2312" w:eastAsia="仿宋_GB2312" w:cs="仿宋_GB2312"/>
          <w:color w:val="auto"/>
          <w:spacing w:val="0"/>
          <w:sz w:val="32"/>
          <w:szCs w:val="32"/>
          <w:highlight w:val="none"/>
        </w:rPr>
        <w:t>推进改革，按照加强国家治理体系和治理能力现代化建设要求，在教育投入、办学体制、学校管理、人事聘任、评价督导以及教育教学等领域积极改革创新，破除制约高质量发展障碍，提高资源配置效率，调动各方积极性，促进教育全面发展。</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4.以数字提速为引擎。</w:t>
      </w:r>
      <w:r>
        <w:rPr>
          <w:rFonts w:hint="eastAsia" w:ascii="仿宋_GB2312" w:hAnsi="仿宋_GB2312" w:eastAsia="仿宋_GB2312" w:cs="仿宋_GB2312"/>
          <w:color w:val="auto"/>
          <w:spacing w:val="0"/>
          <w:sz w:val="32"/>
          <w:szCs w:val="32"/>
          <w:highlight w:val="none"/>
        </w:rPr>
        <w:t>要充分把握信息技术迅猛发展对教育的深刻影响，将教育信息化作为教育系统性变革的内生变量，以信息化推动教育理念更新、教育形态转变、教育模式变革、教育体系重构，积极推进“互联网+教育”，发展远程教育和智能教育，完善线上教育，紧抓应用，力促成效，扩大优质教育资源覆盖面，加快缩短与教育发达地区的距离。</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5.以引领北部为格局。</w:t>
      </w:r>
      <w:r>
        <w:rPr>
          <w:rFonts w:hint="eastAsia" w:ascii="仿宋_GB2312" w:hAnsi="仿宋_GB2312" w:eastAsia="仿宋_GB2312" w:cs="仿宋_GB2312"/>
          <w:color w:val="auto"/>
          <w:spacing w:val="0"/>
          <w:sz w:val="32"/>
          <w:szCs w:val="32"/>
          <w:highlight w:val="none"/>
        </w:rPr>
        <w:t>要进一步发挥广清协作的作用，加快“入珠融湾”步伐，加大“三连一阳”区域合作</w:t>
      </w:r>
      <w:r>
        <w:rPr>
          <w:rFonts w:hint="eastAsia" w:ascii="仿宋_GB2312" w:hAnsi="仿宋_GB2312" w:eastAsia="仿宋_GB2312" w:cs="仿宋_GB2312"/>
          <w:color w:val="auto"/>
          <w:spacing w:val="0"/>
          <w:sz w:val="32"/>
          <w:szCs w:val="32"/>
          <w:highlight w:val="none"/>
          <w:lang w:eastAsia="zh-CN"/>
        </w:rPr>
        <w:t>力度</w:t>
      </w:r>
      <w:r>
        <w:rPr>
          <w:rFonts w:hint="eastAsia" w:ascii="仿宋_GB2312" w:hAnsi="仿宋_GB2312" w:eastAsia="仿宋_GB2312" w:cs="仿宋_GB2312"/>
          <w:color w:val="auto"/>
          <w:spacing w:val="0"/>
          <w:sz w:val="32"/>
          <w:szCs w:val="32"/>
          <w:highlight w:val="none"/>
        </w:rPr>
        <w:t>，整合清远南北片区教育资源，将连州打造成为清远北部教育发展的枢纽，形成引领清远北部地区加快“入珠融湾”步伐、实现区域一体化发展的格局。</w:t>
      </w:r>
    </w:p>
    <w:p>
      <w:pPr>
        <w:pStyle w:val="3"/>
        <w:pageBreakBefore w:val="0"/>
        <w:kinsoku/>
        <w:overflowPunct/>
        <w:topLinePunct w:val="0"/>
        <w:bidi w:val="0"/>
        <w:spacing w:before="289" w:after="289" w:line="520" w:lineRule="exact"/>
        <w:jc w:val="center"/>
        <w:rPr>
          <w:rFonts w:hint="eastAsia" w:ascii="黑体" w:hAnsi="黑体" w:eastAsia="黑体" w:cs="黑体"/>
          <w:color w:val="auto"/>
          <w:spacing w:val="0"/>
          <w:sz w:val="32"/>
          <w:szCs w:val="32"/>
          <w:highlight w:val="none"/>
        </w:rPr>
      </w:pPr>
      <w:bookmarkStart w:id="10" w:name="_Toc124060250"/>
      <w:r>
        <w:rPr>
          <w:rFonts w:hint="eastAsia" w:ascii="黑体" w:hAnsi="黑体" w:eastAsia="黑体" w:cs="黑体"/>
          <w:color w:val="auto"/>
          <w:spacing w:val="0"/>
          <w:sz w:val="32"/>
          <w:szCs w:val="32"/>
          <w:highlight w:val="none"/>
        </w:rPr>
        <w:t>第四节  发展目标</w:t>
      </w:r>
      <w:bookmarkEnd w:id="10"/>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至2025年，构建与连州市经济建设和社会发展相适应的教育体系，教育设施更完善，教育体系更优化，教育治理能力更强，师资队伍素质更高，教育质量更有保障，教育对经济建设和社会发展的支撑力更强，人民群众对教育的满意度更高，连州市教育发展超过清远市平均水平，在清远北部地区乃至粤湘桂交界区域的影响力更明显，成为与清远北部区域中心城市及粤湘桂交界区域中心相适应的教育高地。</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——教育设施更完善。</w:t>
      </w:r>
      <w:r>
        <w:rPr>
          <w:rFonts w:hint="eastAsia" w:ascii="仿宋_GB2312" w:hAnsi="仿宋_GB2312" w:eastAsia="仿宋_GB2312" w:cs="仿宋_GB2312"/>
          <w:color w:val="auto"/>
          <w:spacing w:val="0"/>
          <w:sz w:val="32"/>
          <w:szCs w:val="32"/>
          <w:highlight w:val="none"/>
        </w:rPr>
        <w:t>进一步加大教育投入，实施普及高水平公共教育建设项目、连州市学校优质均衡提升建设项目、现代职业教育体系建设项目，新建、扩建、改建一批学校（幼儿园），改善农村义务教育寄宿制学校</w:t>
      </w:r>
      <w:r>
        <w:rPr>
          <w:rFonts w:hint="eastAsia" w:ascii="仿宋_GB2312" w:hAnsi="仿宋_GB2312" w:eastAsia="仿宋_GB2312" w:cs="仿宋_GB2312"/>
          <w:color w:val="auto"/>
          <w:spacing w:val="0"/>
          <w:sz w:val="32"/>
          <w:szCs w:val="32"/>
          <w:highlight w:val="none"/>
          <w:lang w:eastAsia="zh-CN"/>
        </w:rPr>
        <w:t>办学条件</w:t>
      </w:r>
      <w:r>
        <w:rPr>
          <w:rFonts w:hint="eastAsia" w:ascii="仿宋_GB2312" w:hAnsi="仿宋_GB2312" w:eastAsia="仿宋_GB2312" w:cs="仿宋_GB2312"/>
          <w:color w:val="auto"/>
          <w:spacing w:val="0"/>
          <w:sz w:val="32"/>
          <w:szCs w:val="32"/>
          <w:highlight w:val="none"/>
        </w:rPr>
        <w:t>，增加公办幼儿园学位</w:t>
      </w:r>
      <w:r>
        <w:rPr>
          <w:rFonts w:hint="eastAsia" w:ascii="仿宋_GB2312" w:hAnsi="仿宋_GB2312" w:eastAsia="仿宋_GB2312" w:cs="仿宋_GB2312"/>
          <w:color w:val="auto"/>
          <w:spacing w:val="0"/>
          <w:sz w:val="32"/>
          <w:szCs w:val="32"/>
          <w:highlight w:val="none"/>
          <w:lang w:val="en-US" w:eastAsia="zh-CN"/>
        </w:rPr>
        <w:t>2</w:t>
      </w:r>
      <w:r>
        <w:rPr>
          <w:rFonts w:hint="eastAsia" w:ascii="仿宋_GB2312" w:hAnsi="仿宋_GB2312" w:eastAsia="仿宋_GB2312" w:cs="仿宋_GB2312"/>
          <w:color w:val="auto"/>
          <w:spacing w:val="0"/>
          <w:sz w:val="32"/>
          <w:szCs w:val="32"/>
          <w:highlight w:val="none"/>
        </w:rPr>
        <w:t>000个以上，增加义务教育学位</w:t>
      </w:r>
      <w:r>
        <w:rPr>
          <w:rFonts w:hint="eastAsia" w:ascii="仿宋_GB2312" w:hAnsi="仿宋_GB2312" w:eastAsia="仿宋_GB2312" w:cs="仿宋_GB2312"/>
          <w:color w:val="auto"/>
          <w:spacing w:val="0"/>
          <w:sz w:val="32"/>
          <w:szCs w:val="32"/>
          <w:highlight w:val="none"/>
          <w:lang w:val="en-US" w:eastAsia="zh-CN"/>
        </w:rPr>
        <w:t>3</w:t>
      </w:r>
      <w:r>
        <w:rPr>
          <w:rFonts w:hint="eastAsia" w:ascii="仿宋_GB2312" w:hAnsi="仿宋_GB2312" w:eastAsia="仿宋_GB2312" w:cs="仿宋_GB2312"/>
          <w:color w:val="auto"/>
          <w:spacing w:val="0"/>
          <w:sz w:val="32"/>
          <w:szCs w:val="32"/>
          <w:highlight w:val="none"/>
        </w:rPr>
        <w:t>000个以上，新增普通高中学生床位2400个，新增职业学校学生床位近2000个；扩充学校场地校舍，增加教学仪器设备、图书以及生活设施，增加学位，改善设施，为学生提供更好的学习条件。“十四五”期间，财政共投入校舍、教学设施</w:t>
      </w:r>
      <w:r>
        <w:rPr>
          <w:rFonts w:hint="eastAsia" w:ascii="仿宋_GB2312" w:hAnsi="仿宋_GB2312" w:eastAsia="仿宋_GB2312" w:cs="仿宋_GB2312"/>
          <w:color w:val="auto"/>
          <w:spacing w:val="0"/>
          <w:sz w:val="32"/>
          <w:szCs w:val="32"/>
          <w:highlight w:val="none"/>
          <w:lang w:eastAsia="zh-CN"/>
        </w:rPr>
        <w:t>建设资金</w:t>
      </w:r>
      <w:r>
        <w:rPr>
          <w:rFonts w:hint="eastAsia" w:ascii="仿宋_GB2312" w:hAnsi="仿宋_GB2312" w:eastAsia="仿宋_GB2312" w:cs="仿宋_GB2312"/>
          <w:color w:val="auto"/>
          <w:spacing w:val="0"/>
          <w:sz w:val="32"/>
          <w:szCs w:val="32"/>
          <w:highlight w:val="none"/>
        </w:rPr>
        <w:t>共36.12亿元。</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——教育体系更优化。</w:t>
      </w:r>
      <w:r>
        <w:rPr>
          <w:rFonts w:hint="eastAsia" w:ascii="仿宋_GB2312" w:hAnsi="仿宋_GB2312" w:eastAsia="仿宋_GB2312" w:cs="仿宋_GB2312"/>
          <w:color w:val="auto"/>
          <w:spacing w:val="0"/>
          <w:sz w:val="32"/>
          <w:szCs w:val="32"/>
          <w:highlight w:val="none"/>
        </w:rPr>
        <w:t>学前教育优质普惠水平更高，公办幼儿园在园幼儿占比超过50%，公办和普惠性幼儿园在园幼儿占比超过80%，</w:t>
      </w:r>
      <w:r>
        <w:rPr>
          <w:rFonts w:hint="eastAsia" w:ascii="仿宋_GB2312" w:hAnsi="仿宋_GB2312" w:eastAsia="仿宋_GB2312" w:cs="仿宋_GB2312"/>
          <w:color w:val="auto"/>
          <w:spacing w:val="0"/>
          <w:sz w:val="32"/>
          <w:szCs w:val="32"/>
          <w:highlight w:val="none"/>
          <w:shd w:val="clear" w:color="auto" w:fill="FFFFFF"/>
        </w:rPr>
        <w:t>省规范化幼儿园比例达到90%，学前三年毛入园率达98%以上。</w:t>
      </w:r>
      <w:r>
        <w:rPr>
          <w:rFonts w:hint="eastAsia" w:ascii="仿宋_GB2312" w:hAnsi="仿宋_GB2312" w:eastAsia="仿宋_GB2312" w:cs="仿宋_GB2312"/>
          <w:color w:val="auto"/>
          <w:spacing w:val="0"/>
          <w:sz w:val="32"/>
          <w:szCs w:val="32"/>
          <w:highlight w:val="none"/>
        </w:rPr>
        <w:t>义务教育优质均衡水平更高，科学调整中小学布局，在连州城区新建、扩建一批中小学，彻底解决城区适龄儿童入学难问题；改善农村义务教育寄宿学校建设，合理调整农村教学点，保障农村儿童接受有质量的义务教育。高中教育水平全面提升，高中阶段毛入学率巩固在95%以上。形成普通高中错位发展、初中并驾齐驱、每个片区均有大型幼儿园的基础教育布局。职业教育扩容提质上水平，新增连州市职业学校技能训练场所，扩大办学规模。谋划异地迁建广东省连州卫生学校，推进</w:t>
      </w:r>
      <w:r>
        <w:rPr>
          <w:rFonts w:hint="eastAsia" w:ascii="仿宋_GB2312" w:hAnsi="仿宋_GB2312" w:eastAsia="仿宋_GB2312" w:cs="仿宋_GB2312"/>
          <w:color w:val="auto"/>
          <w:spacing w:val="0"/>
          <w:sz w:val="32"/>
          <w:szCs w:val="32"/>
          <w:highlight w:val="none"/>
          <w:lang w:eastAsia="zh-CN"/>
        </w:rPr>
        <w:t>中职学校</w:t>
      </w:r>
      <w:r>
        <w:rPr>
          <w:rFonts w:hint="eastAsia" w:ascii="仿宋_GB2312" w:hAnsi="仿宋_GB2312" w:eastAsia="仿宋_GB2312" w:cs="仿宋_GB2312"/>
          <w:color w:val="auto"/>
          <w:spacing w:val="0"/>
          <w:sz w:val="32"/>
          <w:szCs w:val="32"/>
          <w:highlight w:val="none"/>
        </w:rPr>
        <w:t>办学条件达标建设。</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——教育治理能力显著增强。</w:t>
      </w:r>
      <w:r>
        <w:rPr>
          <w:rFonts w:hint="eastAsia" w:ascii="仿宋_GB2312" w:hAnsi="仿宋_GB2312" w:eastAsia="仿宋_GB2312" w:cs="仿宋_GB2312"/>
          <w:color w:val="auto"/>
          <w:spacing w:val="0"/>
          <w:sz w:val="32"/>
          <w:szCs w:val="32"/>
          <w:highlight w:val="none"/>
        </w:rPr>
        <w:t>教育统筹能力进一步增强，多部门协同发展和治理教育的体制机制更加完善，教育投入保障机制更为健全；教育体制机制改革取得较大进展，逐步实现“管、办、评”分离，逐步形成政府主导、学校主体、社会参与的多元</w:t>
      </w:r>
      <w:r>
        <w:rPr>
          <w:rFonts w:hint="eastAsia" w:ascii="仿宋_GB2312" w:hAnsi="仿宋_GB2312" w:eastAsia="仿宋_GB2312" w:cs="仿宋_GB2312"/>
          <w:color w:val="auto"/>
          <w:spacing w:val="0"/>
          <w:sz w:val="32"/>
          <w:szCs w:val="32"/>
          <w:highlight w:val="none"/>
          <w:lang w:eastAsia="zh-CN"/>
        </w:rPr>
        <w:t>化</w:t>
      </w:r>
      <w:r>
        <w:rPr>
          <w:rFonts w:hint="eastAsia" w:ascii="仿宋_GB2312" w:hAnsi="仿宋_GB2312" w:eastAsia="仿宋_GB2312" w:cs="仿宋_GB2312"/>
          <w:color w:val="auto"/>
          <w:spacing w:val="0"/>
          <w:sz w:val="32"/>
          <w:szCs w:val="32"/>
          <w:highlight w:val="none"/>
        </w:rPr>
        <w:t>治理格局。教育行政部门的服务意识进一步增强，教育行政与服务方式发生较大转变，教育评价的方式更为科学、督导评估更有成效，中小学教师“县管校聘”管理</w:t>
      </w:r>
      <w:r>
        <w:rPr>
          <w:rFonts w:hint="eastAsia" w:ascii="仿宋_GB2312" w:hAnsi="仿宋_GB2312" w:eastAsia="仿宋_GB2312" w:cs="仿宋_GB2312"/>
          <w:color w:val="auto"/>
          <w:spacing w:val="0"/>
          <w:sz w:val="32"/>
          <w:szCs w:val="32"/>
          <w:highlight w:val="none"/>
          <w:lang w:eastAsia="zh-CN"/>
        </w:rPr>
        <w:t>机制</w:t>
      </w:r>
      <w:r>
        <w:rPr>
          <w:rFonts w:hint="eastAsia" w:ascii="仿宋_GB2312" w:hAnsi="仿宋_GB2312" w:eastAsia="仿宋_GB2312" w:cs="仿宋_GB2312"/>
          <w:color w:val="auto"/>
          <w:spacing w:val="0"/>
          <w:sz w:val="32"/>
          <w:szCs w:val="32"/>
          <w:highlight w:val="none"/>
        </w:rPr>
        <w:t>更加完善，教师队伍的配置、激励机制更合理有效，运用信息化手段提升教育管理和教育教学水平的能力明显提升。以校长为代表的学校管理水平持续提升，驾驭教育、教学、科研、管理的能力不断增强，人才培养模式不断优化，学校内部管理机制不断完善，依法治教意识以及“科研促教”的水平明显提升，文明校园和平安校园建设成效更加明显。广清教育帮扶更有成效，“入珠融湾”的</w:t>
      </w:r>
      <w:r>
        <w:rPr>
          <w:rFonts w:hint="eastAsia" w:ascii="仿宋_GB2312" w:hAnsi="仿宋_GB2312" w:eastAsia="仿宋_GB2312" w:cs="仿宋_GB2312"/>
          <w:color w:val="auto"/>
          <w:spacing w:val="0"/>
          <w:sz w:val="32"/>
          <w:szCs w:val="32"/>
          <w:highlight w:val="none"/>
          <w:shd w:val="clear" w:color="auto" w:fill="FFFFFF"/>
        </w:rPr>
        <w:t>教育开放格局初步形成，</w:t>
      </w:r>
      <w:r>
        <w:rPr>
          <w:rFonts w:hint="eastAsia" w:ascii="仿宋_GB2312" w:hAnsi="仿宋_GB2312" w:eastAsia="仿宋_GB2312" w:cs="仿宋_GB2312"/>
          <w:color w:val="auto"/>
          <w:spacing w:val="0"/>
          <w:sz w:val="32"/>
          <w:szCs w:val="32"/>
          <w:highlight w:val="none"/>
        </w:rPr>
        <w:t>适应发展、科学规范、运行有效的现代教育治理体系基本形成。</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kern w:val="2"/>
          <w:sz w:val="32"/>
          <w:szCs w:val="32"/>
          <w:highlight w:val="none"/>
        </w:rPr>
        <w:t>——师资队伍素质明显提高。</w:t>
      </w:r>
      <w:r>
        <w:rPr>
          <w:rFonts w:hint="eastAsia" w:ascii="仿宋_GB2312" w:hAnsi="仿宋_GB2312" w:eastAsia="仿宋_GB2312" w:cs="仿宋_GB2312"/>
          <w:color w:val="auto"/>
          <w:spacing w:val="0"/>
          <w:sz w:val="32"/>
          <w:szCs w:val="32"/>
          <w:highlight w:val="none"/>
        </w:rPr>
        <w:t>师德师风建设不断加强，师资队伍结构不断改善，城乡、公民办学校教师差距进一步缩小，教师队伍年龄、学科等结构性矛盾基本解决，教师专业性水平不断提升，教师培训体系不断健全，教师待遇提升保障机制不断完善，畅通教师职业发展通道，师资队伍整体水平显著提高，教育质量明显提升。幼儿园专任教师大专以上学历比例达到80%，小学、初中专任教师本科以上学历比例分别达到70%和90%，高中阶段学校教师硕士研究生以上学历比例达到15%，职业院校专业课教师中双师型教师比例稳定在60%以上。增强教师职业吸引力，</w:t>
      </w:r>
      <w:r>
        <w:rPr>
          <w:rFonts w:hint="eastAsia" w:ascii="仿宋_GB2312" w:hAnsi="仿宋_GB2312" w:eastAsia="仿宋_GB2312" w:cs="仿宋_GB2312"/>
          <w:color w:val="auto"/>
          <w:spacing w:val="0"/>
          <w:sz w:val="32"/>
          <w:szCs w:val="32"/>
          <w:highlight w:val="none"/>
          <w:shd w:val="clear" w:color="auto" w:fill="FFFFFF"/>
        </w:rPr>
        <w:t>倡导全社会尊师重教，形成优秀人才争相从教、教师人人尽展其才、好教师不断涌现，</w:t>
      </w:r>
      <w:r>
        <w:rPr>
          <w:rFonts w:hint="eastAsia" w:ascii="仿宋_GB2312" w:hAnsi="仿宋_GB2312" w:eastAsia="仿宋_GB2312" w:cs="仿宋_GB2312"/>
          <w:color w:val="auto"/>
          <w:spacing w:val="0"/>
          <w:sz w:val="32"/>
          <w:szCs w:val="32"/>
          <w:highlight w:val="none"/>
        </w:rPr>
        <w:t>强师兴教、科研兴教全面推进</w:t>
      </w:r>
      <w:r>
        <w:rPr>
          <w:rFonts w:hint="eastAsia" w:ascii="仿宋_GB2312" w:hAnsi="仿宋_GB2312" w:eastAsia="仿宋_GB2312" w:cs="仿宋_GB2312"/>
          <w:color w:val="auto"/>
          <w:spacing w:val="0"/>
          <w:sz w:val="32"/>
          <w:szCs w:val="32"/>
          <w:highlight w:val="none"/>
          <w:shd w:val="clear" w:color="auto" w:fill="FFFFFF"/>
        </w:rPr>
        <w:t>的良好局面。</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——教育质量进一步提升。</w:t>
      </w:r>
      <w:r>
        <w:rPr>
          <w:rFonts w:hint="eastAsia" w:ascii="仿宋_GB2312" w:hAnsi="仿宋_GB2312" w:eastAsia="仿宋_GB2312" w:cs="仿宋_GB2312"/>
          <w:color w:val="auto"/>
          <w:spacing w:val="0"/>
          <w:sz w:val="32"/>
          <w:szCs w:val="32"/>
          <w:highlight w:val="none"/>
        </w:rPr>
        <w:t>立德树人理念得到全面贯彻，未成年人思想品质不断提高，学生学习兴趣、学习能力、综合素质普遍提升。培养学生的创新精神、应用知识解决问题的能力</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以及实践能力和社会责任感取得有效经验；学校文化育人氛围浓厚，学生审美情趣、艺术素养、劳动素养和体质健康水平持续提升；教育信息化程度更高，信息化应用成效更明显；优质教育资源总量不断扩大，高中阶段教育优秀生“留连率”不断提升；</w:t>
      </w:r>
      <w:r>
        <w:rPr>
          <w:rFonts w:hint="eastAsia" w:ascii="仿宋_GB2312" w:hAnsi="仿宋_GB2312" w:eastAsia="仿宋_GB2312" w:cs="仿宋_GB2312"/>
          <w:color w:val="auto"/>
          <w:spacing w:val="0"/>
          <w:sz w:val="32"/>
          <w:szCs w:val="32"/>
          <w:highlight w:val="none"/>
          <w:shd w:val="clear" w:color="auto" w:fill="FFFFFF"/>
        </w:rPr>
        <w:t>逐步</w:t>
      </w:r>
      <w:r>
        <w:rPr>
          <w:rFonts w:hint="eastAsia" w:ascii="仿宋_GB2312" w:hAnsi="仿宋_GB2312" w:eastAsia="仿宋_GB2312" w:cs="仿宋_GB2312"/>
          <w:color w:val="auto"/>
          <w:spacing w:val="0"/>
          <w:sz w:val="32"/>
          <w:szCs w:val="32"/>
          <w:highlight w:val="none"/>
        </w:rPr>
        <w:t>建成覆盖城乡、开放便捷的满足多层次、多样化学习需求的终身学习公共服务体系，基本满足人民群众接受高质量、高水平教育的需求。</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——教育服务能力进一步增强。</w:t>
      </w:r>
      <w:r>
        <w:rPr>
          <w:rFonts w:hint="eastAsia" w:ascii="仿宋_GB2312" w:hAnsi="仿宋_GB2312" w:eastAsia="仿宋_GB2312" w:cs="仿宋_GB2312"/>
          <w:color w:val="auto"/>
          <w:spacing w:val="0"/>
          <w:sz w:val="32"/>
          <w:szCs w:val="32"/>
          <w:highlight w:val="none"/>
        </w:rPr>
        <w:t>学前教育和中小学的学位更加充足，义务教育城乡差距、校际差距明显缩小，教育的公平性进一步</w:t>
      </w:r>
      <w:r>
        <w:rPr>
          <w:rFonts w:hint="eastAsia" w:ascii="仿宋_GB2312" w:hAnsi="仿宋_GB2312" w:eastAsia="仿宋_GB2312" w:cs="仿宋_GB2312"/>
          <w:color w:val="auto"/>
          <w:spacing w:val="0"/>
          <w:sz w:val="32"/>
          <w:szCs w:val="32"/>
          <w:highlight w:val="none"/>
          <w:lang w:eastAsia="zh-CN"/>
        </w:rPr>
        <w:t>提升</w:t>
      </w:r>
      <w:r>
        <w:rPr>
          <w:rFonts w:hint="eastAsia" w:ascii="仿宋_GB2312" w:hAnsi="仿宋_GB2312" w:eastAsia="仿宋_GB2312" w:cs="仿宋_GB2312"/>
          <w:color w:val="auto"/>
          <w:spacing w:val="0"/>
          <w:sz w:val="32"/>
          <w:szCs w:val="32"/>
          <w:highlight w:val="none"/>
        </w:rPr>
        <w:t>；职业教育产教融合、校企合作深入推进，专业建设水平以及服务产业发展的能力不断提升；新增劳动力受教育年限达14年，其中高中以上教育占95%以上，人力资源水平不断提升；教育与经济社会发展结合度更高，对连州市产业转型升级、实施教育振兴乡村、打造国家历史文化魅力城市、粤湘桂交界区域中心、粤北生态发展排头兵、湾区休闲旅游目的地、粤港澳大湾区经清远辐射内地的北大门的支持能力明显增强；教育质量明显提升，基本满足人民群众接受高质量、高水平教育的需求，人民群众对教育的满意度更高。</w:t>
      </w:r>
    </w:p>
    <w:p>
      <w:pPr>
        <w:keepNext w:val="0"/>
        <w:keepLines w:val="0"/>
        <w:pageBreakBefore w:val="0"/>
        <w:widowControl w:val="0"/>
        <w:kinsoku/>
        <w:wordWrap/>
        <w:overflowPunct/>
        <w:topLinePunct w:val="0"/>
        <w:autoSpaceDE/>
        <w:autoSpaceDN/>
        <w:bidi w:val="0"/>
        <w:adjustRightInd/>
        <w:snapToGrid/>
        <w:spacing w:line="240" w:lineRule="auto"/>
        <w:ind w:firstLine="566" w:firstLineChars="200"/>
        <w:contextualSpacing/>
        <w:jc w:val="center"/>
        <w:textAlignment w:val="auto"/>
        <w:rPr>
          <w:rFonts w:hint="eastAsia" w:ascii="黑体" w:hAnsi="黑体" w:eastAsia="黑体" w:cs="黑体"/>
          <w:b w:val="0"/>
          <w:bCs w:val="0"/>
          <w:color w:val="auto"/>
          <w:spacing w:val="0"/>
          <w:sz w:val="30"/>
          <w:szCs w:val="30"/>
          <w:highlight w:val="none"/>
        </w:rPr>
      </w:pPr>
    </w:p>
    <w:p>
      <w:pPr>
        <w:keepNext w:val="0"/>
        <w:keepLines w:val="0"/>
        <w:pageBreakBefore w:val="0"/>
        <w:widowControl w:val="0"/>
        <w:kinsoku/>
        <w:wordWrap/>
        <w:overflowPunct/>
        <w:topLinePunct w:val="0"/>
        <w:autoSpaceDE/>
        <w:autoSpaceDN/>
        <w:bidi w:val="0"/>
        <w:adjustRightInd/>
        <w:snapToGrid/>
        <w:spacing w:line="240" w:lineRule="auto"/>
        <w:ind w:firstLine="566" w:firstLineChars="200"/>
        <w:contextualSpacing/>
        <w:jc w:val="center"/>
        <w:textAlignment w:val="auto"/>
        <w:rPr>
          <w:rFonts w:hint="eastAsia" w:ascii="黑体" w:hAnsi="黑体" w:eastAsia="黑体" w:cs="黑体"/>
          <w:b w:val="0"/>
          <w:bCs w:val="0"/>
          <w:color w:val="auto"/>
          <w:spacing w:val="0"/>
          <w:sz w:val="30"/>
          <w:szCs w:val="30"/>
          <w:highlight w:val="none"/>
        </w:rPr>
      </w:pPr>
      <w:r>
        <w:rPr>
          <w:rFonts w:hint="eastAsia" w:ascii="黑体" w:hAnsi="黑体" w:eastAsia="黑体" w:cs="黑体"/>
          <w:b w:val="0"/>
          <w:bCs w:val="0"/>
          <w:color w:val="auto"/>
          <w:spacing w:val="0"/>
          <w:sz w:val="30"/>
          <w:szCs w:val="30"/>
          <w:highlight w:val="none"/>
        </w:rPr>
        <w:t>连州市教育发展“十四五”主要目标</w:t>
      </w:r>
    </w:p>
    <w:p>
      <w:pPr>
        <w:keepNext w:val="0"/>
        <w:keepLines w:val="0"/>
        <w:pageBreakBefore w:val="0"/>
        <w:widowControl w:val="0"/>
        <w:kinsoku/>
        <w:wordWrap/>
        <w:overflowPunct/>
        <w:topLinePunct w:val="0"/>
        <w:autoSpaceDE/>
        <w:autoSpaceDN/>
        <w:bidi w:val="0"/>
        <w:adjustRightInd/>
        <w:snapToGrid/>
        <w:spacing w:line="240" w:lineRule="auto"/>
        <w:ind w:firstLine="566" w:firstLineChars="200"/>
        <w:contextualSpacing/>
        <w:jc w:val="center"/>
        <w:textAlignment w:val="auto"/>
        <w:rPr>
          <w:rFonts w:hint="eastAsia" w:ascii="黑体" w:hAnsi="黑体" w:eastAsia="黑体" w:cs="黑体"/>
          <w:b w:val="0"/>
          <w:bCs w:val="0"/>
          <w:color w:val="auto"/>
          <w:spacing w:val="0"/>
          <w:sz w:val="30"/>
          <w:szCs w:val="30"/>
          <w:highlight w:val="none"/>
        </w:rPr>
      </w:pPr>
    </w:p>
    <w:tbl>
      <w:tblPr>
        <w:tblStyle w:val="12"/>
        <w:tblW w:w="9006" w:type="dxa"/>
        <w:tblInd w:w="-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086"/>
        <w:gridCol w:w="4383"/>
        <w:gridCol w:w="1767"/>
        <w:gridCol w:w="17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5469" w:type="dxa"/>
            <w:gridSpan w:val="2"/>
            <w:vAlign w:val="center"/>
          </w:tcPr>
          <w:p>
            <w:pPr>
              <w:pageBreakBefore w:val="0"/>
              <w:kinsoku/>
              <w:overflowPunct/>
              <w:topLinePunct w:val="0"/>
              <w:bidi w:val="0"/>
              <w:spacing w:line="520" w:lineRule="exact"/>
              <w:contextualSpacing/>
              <w:jc w:val="center"/>
              <w:rPr>
                <w:rFonts w:hint="eastAsia" w:ascii="黑体" w:hAnsi="黑体" w:eastAsia="黑体" w:cs="黑体"/>
                <w:color w:val="auto"/>
                <w:spacing w:val="0"/>
                <w:sz w:val="24"/>
                <w:szCs w:val="24"/>
                <w:highlight w:val="none"/>
              </w:rPr>
            </w:pPr>
            <w:r>
              <w:rPr>
                <w:rFonts w:hint="eastAsia" w:ascii="黑体" w:hAnsi="黑体" w:eastAsia="黑体" w:cs="黑体"/>
                <w:color w:val="auto"/>
                <w:spacing w:val="0"/>
                <w:kern w:val="0"/>
                <w:sz w:val="24"/>
                <w:szCs w:val="24"/>
                <w:highlight w:val="none"/>
              </w:rPr>
              <w:t>指</w:t>
            </w:r>
            <w:r>
              <w:rPr>
                <w:rFonts w:hint="eastAsia" w:ascii="黑体" w:hAnsi="黑体" w:eastAsia="黑体" w:cs="黑体"/>
                <w:color w:val="auto"/>
                <w:spacing w:val="0"/>
                <w:kern w:val="0"/>
                <w:sz w:val="24"/>
                <w:szCs w:val="24"/>
                <w:highlight w:val="none"/>
                <w:lang w:val="en-US" w:eastAsia="zh-CN"/>
              </w:rPr>
              <w:t xml:space="preserve">  </w:t>
            </w:r>
            <w:r>
              <w:rPr>
                <w:rFonts w:hint="eastAsia" w:ascii="黑体" w:hAnsi="黑体" w:eastAsia="黑体" w:cs="黑体"/>
                <w:color w:val="auto"/>
                <w:spacing w:val="0"/>
                <w:kern w:val="0"/>
                <w:sz w:val="24"/>
                <w:szCs w:val="24"/>
                <w:highlight w:val="none"/>
              </w:rPr>
              <w:t>标</w:t>
            </w:r>
          </w:p>
        </w:tc>
        <w:tc>
          <w:tcPr>
            <w:tcW w:w="1767" w:type="dxa"/>
            <w:vAlign w:val="center"/>
          </w:tcPr>
          <w:p>
            <w:pPr>
              <w:pageBreakBefore w:val="0"/>
              <w:kinsoku/>
              <w:overflowPunct/>
              <w:topLinePunct w:val="0"/>
              <w:bidi w:val="0"/>
              <w:spacing w:line="520" w:lineRule="exact"/>
              <w:contextualSpacing/>
              <w:jc w:val="center"/>
              <w:rPr>
                <w:rFonts w:hint="eastAsia" w:ascii="黑体" w:hAnsi="黑体" w:eastAsia="黑体" w:cs="黑体"/>
                <w:color w:val="auto"/>
                <w:spacing w:val="0"/>
                <w:kern w:val="0"/>
                <w:sz w:val="24"/>
                <w:szCs w:val="24"/>
                <w:highlight w:val="none"/>
              </w:rPr>
            </w:pPr>
            <w:r>
              <w:rPr>
                <w:rFonts w:hint="eastAsia" w:ascii="黑体" w:hAnsi="黑体" w:eastAsia="黑体" w:cs="黑体"/>
                <w:color w:val="auto"/>
                <w:spacing w:val="0"/>
                <w:kern w:val="0"/>
                <w:sz w:val="24"/>
                <w:szCs w:val="24"/>
                <w:highlight w:val="none"/>
              </w:rPr>
              <w:t>2020年到达值</w:t>
            </w:r>
          </w:p>
        </w:tc>
        <w:tc>
          <w:tcPr>
            <w:tcW w:w="1770" w:type="dxa"/>
            <w:vAlign w:val="center"/>
          </w:tcPr>
          <w:p>
            <w:pPr>
              <w:pageBreakBefore w:val="0"/>
              <w:kinsoku/>
              <w:overflowPunct/>
              <w:topLinePunct w:val="0"/>
              <w:bidi w:val="0"/>
              <w:spacing w:line="520" w:lineRule="exact"/>
              <w:contextualSpacing/>
              <w:jc w:val="center"/>
              <w:rPr>
                <w:rFonts w:hint="eastAsia" w:ascii="黑体" w:hAnsi="黑体" w:eastAsia="黑体" w:cs="黑体"/>
                <w:color w:val="auto"/>
                <w:spacing w:val="0"/>
                <w:kern w:val="0"/>
                <w:sz w:val="24"/>
                <w:szCs w:val="24"/>
                <w:highlight w:val="none"/>
              </w:rPr>
            </w:pPr>
            <w:r>
              <w:rPr>
                <w:rFonts w:hint="eastAsia" w:ascii="黑体" w:hAnsi="黑体" w:eastAsia="黑体" w:cs="黑体"/>
                <w:color w:val="auto"/>
                <w:spacing w:val="0"/>
                <w:kern w:val="0"/>
                <w:sz w:val="24"/>
                <w:szCs w:val="24"/>
                <w:highlight w:val="none"/>
              </w:rPr>
              <w:t>2025年目标值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85" w:hRule="atLeast"/>
        </w:trPr>
        <w:tc>
          <w:tcPr>
            <w:tcW w:w="1086" w:type="dxa"/>
            <w:vMerge w:val="restart"/>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学前教育</w:t>
            </w:r>
          </w:p>
        </w:tc>
        <w:tc>
          <w:tcPr>
            <w:tcW w:w="4383" w:type="dxa"/>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幼儿在园人数（万人）</w:t>
            </w:r>
          </w:p>
        </w:tc>
        <w:tc>
          <w:tcPr>
            <w:tcW w:w="1767"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1.3</w:t>
            </w:r>
          </w:p>
        </w:tc>
        <w:tc>
          <w:tcPr>
            <w:tcW w:w="1770"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lang w:val="en-US" w:eastAsia="zh-CN"/>
              </w:rPr>
            </w:pPr>
            <w:r>
              <w:rPr>
                <w:rFonts w:hint="default" w:ascii="Calibri" w:hAnsi="Calibri" w:eastAsia="CESI宋体-GB13000" w:cs="Calibri"/>
                <w:color w:val="auto"/>
                <w:spacing w:val="0"/>
                <w:sz w:val="24"/>
                <w:szCs w:val="24"/>
                <w:highlight w:val="none"/>
                <w:lang w:val="en-US" w:eastAsia="zh-CN"/>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49" w:hRule="atLeast"/>
        </w:trPr>
        <w:tc>
          <w:tcPr>
            <w:tcW w:w="1086" w:type="dxa"/>
            <w:vMerge w:val="continue"/>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p>
        </w:tc>
        <w:tc>
          <w:tcPr>
            <w:tcW w:w="4383" w:type="dxa"/>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学前三年毛入园率（%）</w:t>
            </w:r>
          </w:p>
        </w:tc>
        <w:tc>
          <w:tcPr>
            <w:tcW w:w="1767"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98</w:t>
            </w:r>
          </w:p>
        </w:tc>
        <w:tc>
          <w:tcPr>
            <w:tcW w:w="1770"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086" w:type="dxa"/>
            <w:vMerge w:val="restart"/>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kern w:val="0"/>
                <w:sz w:val="24"/>
                <w:szCs w:val="24"/>
                <w:highlight w:val="none"/>
              </w:rPr>
            </w:pPr>
            <w:r>
              <w:rPr>
                <w:rFonts w:hint="eastAsia" w:ascii="宋体" w:hAnsi="宋体" w:eastAsia="宋体" w:cs="宋体"/>
                <w:color w:val="auto"/>
                <w:spacing w:val="0"/>
                <w:kern w:val="0"/>
                <w:sz w:val="24"/>
                <w:szCs w:val="24"/>
                <w:highlight w:val="none"/>
              </w:rPr>
              <w:t>九年义务</w:t>
            </w:r>
          </w:p>
          <w:p>
            <w:pPr>
              <w:pageBreakBefore w:val="0"/>
              <w:kinsoku/>
              <w:overflowPunct/>
              <w:topLinePunct w:val="0"/>
              <w:bidi w:val="0"/>
              <w:spacing w:line="520" w:lineRule="exact"/>
              <w:contextualSpacing/>
              <w:jc w:val="center"/>
              <w:rPr>
                <w:rFonts w:hint="eastAsia" w:ascii="宋体" w:hAnsi="宋体" w:eastAsia="宋体" w:cs="宋体"/>
                <w:color w:val="auto"/>
                <w:spacing w:val="0"/>
                <w:kern w:val="0"/>
                <w:sz w:val="24"/>
                <w:szCs w:val="24"/>
                <w:highlight w:val="none"/>
              </w:rPr>
            </w:pPr>
            <w:r>
              <w:rPr>
                <w:rFonts w:hint="eastAsia" w:ascii="宋体" w:hAnsi="宋体" w:eastAsia="宋体" w:cs="宋体"/>
                <w:color w:val="auto"/>
                <w:spacing w:val="0"/>
                <w:kern w:val="0"/>
                <w:sz w:val="24"/>
                <w:szCs w:val="24"/>
                <w:highlight w:val="none"/>
              </w:rPr>
              <w:t>教育</w:t>
            </w:r>
          </w:p>
        </w:tc>
        <w:tc>
          <w:tcPr>
            <w:tcW w:w="4383" w:type="dxa"/>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在校生（万人）</w:t>
            </w:r>
          </w:p>
        </w:tc>
        <w:tc>
          <w:tcPr>
            <w:tcW w:w="1767"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lang w:val="en-US" w:eastAsia="zh-CN"/>
              </w:rPr>
            </w:pPr>
            <w:r>
              <w:rPr>
                <w:rFonts w:hint="default" w:ascii="Calibri" w:hAnsi="Calibri" w:eastAsia="CESI宋体-GB13000" w:cs="Calibri"/>
                <w:color w:val="auto"/>
                <w:spacing w:val="0"/>
                <w:sz w:val="24"/>
                <w:szCs w:val="24"/>
                <w:highlight w:val="none"/>
                <w:lang w:val="en-US" w:eastAsia="zh-CN"/>
              </w:rPr>
              <w:t>5.5</w:t>
            </w:r>
          </w:p>
        </w:tc>
        <w:tc>
          <w:tcPr>
            <w:tcW w:w="1770"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6.28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086" w:type="dxa"/>
            <w:vMerge w:val="continue"/>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kern w:val="0"/>
                <w:sz w:val="24"/>
                <w:szCs w:val="24"/>
                <w:highlight w:val="none"/>
              </w:rPr>
            </w:pPr>
          </w:p>
        </w:tc>
        <w:tc>
          <w:tcPr>
            <w:tcW w:w="4383" w:type="dxa"/>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小学适龄儿童入学率（%）</w:t>
            </w:r>
          </w:p>
        </w:tc>
        <w:tc>
          <w:tcPr>
            <w:tcW w:w="1767"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100</w:t>
            </w:r>
          </w:p>
        </w:tc>
        <w:tc>
          <w:tcPr>
            <w:tcW w:w="1770"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25" w:hRule="atLeast"/>
        </w:trPr>
        <w:tc>
          <w:tcPr>
            <w:tcW w:w="1086" w:type="dxa"/>
            <w:vMerge w:val="continue"/>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p>
        </w:tc>
        <w:tc>
          <w:tcPr>
            <w:tcW w:w="4383" w:type="dxa"/>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sz w:val="24"/>
                <w:szCs w:val="24"/>
                <w:highlight w:val="none"/>
              </w:rPr>
              <w:t>九年义务教育巩固率（%）</w:t>
            </w:r>
          </w:p>
        </w:tc>
        <w:tc>
          <w:tcPr>
            <w:tcW w:w="1767"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98.2</w:t>
            </w:r>
          </w:p>
        </w:tc>
        <w:tc>
          <w:tcPr>
            <w:tcW w:w="1770"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b w:val="0"/>
                <w:bCs w:val="0"/>
                <w:color w:val="auto"/>
                <w:spacing w:val="0"/>
                <w:kern w:val="0"/>
                <w:sz w:val="24"/>
                <w:szCs w:val="24"/>
                <w:highlight w:val="none"/>
              </w:rPr>
              <w:t>≥</w:t>
            </w:r>
            <w:r>
              <w:rPr>
                <w:rFonts w:hint="default" w:ascii="Calibri" w:hAnsi="Calibri" w:eastAsia="CESI宋体-GB13000" w:cs="Calibri"/>
                <w:b w:val="0"/>
                <w:bCs w:val="0"/>
                <w:color w:val="auto"/>
                <w:spacing w:val="0"/>
                <w:sz w:val="24"/>
                <w:szCs w:val="24"/>
                <w:highlight w:val="none"/>
                <w:lang w:val="en-US" w:eastAsia="zh-CN"/>
              </w:rPr>
              <w:t>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1086" w:type="dxa"/>
            <w:vMerge w:val="restart"/>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kern w:val="0"/>
                <w:sz w:val="24"/>
                <w:szCs w:val="24"/>
                <w:highlight w:val="none"/>
              </w:rPr>
            </w:pPr>
            <w:r>
              <w:rPr>
                <w:rFonts w:hint="eastAsia" w:ascii="宋体" w:hAnsi="宋体" w:eastAsia="宋体" w:cs="宋体"/>
                <w:color w:val="auto"/>
                <w:spacing w:val="0"/>
                <w:kern w:val="0"/>
                <w:sz w:val="24"/>
                <w:szCs w:val="24"/>
                <w:highlight w:val="none"/>
              </w:rPr>
              <w:t>高中阶段</w:t>
            </w:r>
          </w:p>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教育</w:t>
            </w:r>
          </w:p>
        </w:tc>
        <w:tc>
          <w:tcPr>
            <w:tcW w:w="4383" w:type="dxa"/>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全日制在校生（万人）</w:t>
            </w:r>
          </w:p>
        </w:tc>
        <w:tc>
          <w:tcPr>
            <w:tcW w:w="1767"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lang w:val="en-US" w:eastAsia="zh-CN"/>
              </w:rPr>
            </w:pPr>
            <w:r>
              <w:rPr>
                <w:rFonts w:hint="default" w:ascii="Calibri" w:hAnsi="Calibri" w:eastAsia="CESI宋体-GB13000" w:cs="Calibri"/>
                <w:color w:val="auto"/>
                <w:spacing w:val="0"/>
                <w:sz w:val="24"/>
                <w:szCs w:val="24"/>
                <w:highlight w:val="none"/>
              </w:rPr>
              <w:t>1.</w:t>
            </w:r>
            <w:r>
              <w:rPr>
                <w:rFonts w:hint="default" w:ascii="Calibri" w:hAnsi="Calibri" w:eastAsia="CESI宋体-GB13000" w:cs="Calibri"/>
                <w:color w:val="auto"/>
                <w:spacing w:val="0"/>
                <w:sz w:val="24"/>
                <w:szCs w:val="24"/>
                <w:highlight w:val="none"/>
                <w:lang w:val="en-US" w:eastAsia="zh-CN"/>
              </w:rPr>
              <w:t>28</w:t>
            </w:r>
          </w:p>
        </w:tc>
        <w:tc>
          <w:tcPr>
            <w:tcW w:w="1770"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lang w:val="en-US" w:eastAsia="zh-CN"/>
              </w:rPr>
            </w:pPr>
            <w:r>
              <w:rPr>
                <w:rFonts w:hint="default" w:ascii="Calibri" w:hAnsi="Calibri" w:eastAsia="CESI宋体-GB13000" w:cs="Calibri"/>
                <w:color w:val="auto"/>
                <w:spacing w:val="0"/>
                <w:sz w:val="24"/>
                <w:szCs w:val="24"/>
                <w:highlight w:val="none"/>
              </w:rPr>
              <w:t>1.</w:t>
            </w:r>
            <w:r>
              <w:rPr>
                <w:rFonts w:hint="default" w:ascii="Calibri" w:hAnsi="Calibri" w:eastAsia="CESI宋体-GB13000" w:cs="Calibri"/>
                <w:color w:val="auto"/>
                <w:spacing w:val="0"/>
                <w:sz w:val="24"/>
                <w:szCs w:val="24"/>
                <w:highlight w:val="none"/>
                <w:lang w:val="en-US" w:eastAsia="zh-CN"/>
              </w:rPr>
              <w:t>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1086" w:type="dxa"/>
            <w:vMerge w:val="continue"/>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p>
        </w:tc>
        <w:tc>
          <w:tcPr>
            <w:tcW w:w="4383" w:type="dxa"/>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其中：中等职业教育在校生（万人）</w:t>
            </w:r>
          </w:p>
        </w:tc>
        <w:tc>
          <w:tcPr>
            <w:tcW w:w="1767"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lang w:val="en-US" w:eastAsia="zh-CN"/>
              </w:rPr>
            </w:pPr>
            <w:r>
              <w:rPr>
                <w:rFonts w:hint="default" w:ascii="Calibri" w:hAnsi="Calibri" w:eastAsia="CESI宋体-GB13000" w:cs="Calibri"/>
                <w:color w:val="auto"/>
                <w:spacing w:val="0"/>
                <w:sz w:val="24"/>
                <w:szCs w:val="24"/>
                <w:highlight w:val="none"/>
              </w:rPr>
              <w:t>0.</w:t>
            </w:r>
            <w:r>
              <w:rPr>
                <w:rFonts w:hint="default" w:ascii="Calibri" w:hAnsi="Calibri" w:eastAsia="CESI宋体-GB13000" w:cs="Calibri"/>
                <w:color w:val="auto"/>
                <w:spacing w:val="0"/>
                <w:sz w:val="24"/>
                <w:szCs w:val="24"/>
                <w:highlight w:val="none"/>
                <w:lang w:val="en-US" w:eastAsia="zh-CN"/>
              </w:rPr>
              <w:t>65</w:t>
            </w:r>
          </w:p>
        </w:tc>
        <w:tc>
          <w:tcPr>
            <w:tcW w:w="1770"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lang w:eastAsia="zh-CN"/>
              </w:rPr>
            </w:pPr>
            <w:r>
              <w:rPr>
                <w:rFonts w:hint="default" w:ascii="Calibri" w:hAnsi="Calibri" w:eastAsia="CESI宋体-GB13000" w:cs="Calibri"/>
                <w:color w:val="auto"/>
                <w:spacing w:val="0"/>
                <w:sz w:val="24"/>
                <w:szCs w:val="24"/>
                <w:highlight w:val="none"/>
              </w:rPr>
              <w:t>0.7</w:t>
            </w:r>
            <w:r>
              <w:rPr>
                <w:rFonts w:hint="default" w:ascii="Calibri" w:hAnsi="Calibri" w:eastAsia="CESI宋体-GB13000" w:cs="Calibri"/>
                <w:color w:val="auto"/>
                <w:spacing w:val="0"/>
                <w:sz w:val="24"/>
                <w:szCs w:val="24"/>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0" w:hRule="atLeast"/>
        </w:trPr>
        <w:tc>
          <w:tcPr>
            <w:tcW w:w="1086" w:type="dxa"/>
            <w:vMerge w:val="continue"/>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p>
        </w:tc>
        <w:tc>
          <w:tcPr>
            <w:tcW w:w="4383" w:type="dxa"/>
            <w:vAlign w:val="center"/>
          </w:tcPr>
          <w:p>
            <w:pPr>
              <w:pageBreakBefore w:val="0"/>
              <w:kinsoku/>
              <w:overflowPunct/>
              <w:topLinePunct w:val="0"/>
              <w:bidi w:val="0"/>
              <w:spacing w:line="520" w:lineRule="exact"/>
              <w:contextualSpacing/>
              <w:jc w:val="center"/>
              <w:rPr>
                <w:rFonts w:hint="eastAsia" w:ascii="宋体" w:hAnsi="宋体" w:eastAsia="宋体" w:cs="宋体"/>
                <w:color w:val="auto"/>
                <w:spacing w:val="0"/>
                <w:sz w:val="24"/>
                <w:szCs w:val="24"/>
                <w:highlight w:val="none"/>
              </w:rPr>
            </w:pPr>
            <w:r>
              <w:rPr>
                <w:rFonts w:hint="eastAsia" w:ascii="宋体" w:hAnsi="宋体" w:eastAsia="宋体" w:cs="宋体"/>
                <w:color w:val="auto"/>
                <w:spacing w:val="0"/>
                <w:kern w:val="0"/>
                <w:sz w:val="24"/>
                <w:szCs w:val="24"/>
                <w:highlight w:val="none"/>
              </w:rPr>
              <w:t>毛入学率（%）</w:t>
            </w:r>
          </w:p>
        </w:tc>
        <w:tc>
          <w:tcPr>
            <w:tcW w:w="1767"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99.6%</w:t>
            </w:r>
          </w:p>
        </w:tc>
        <w:tc>
          <w:tcPr>
            <w:tcW w:w="1770" w:type="dxa"/>
            <w:vAlign w:val="center"/>
          </w:tcPr>
          <w:p>
            <w:pPr>
              <w:pageBreakBefore w:val="0"/>
              <w:kinsoku/>
              <w:overflowPunct/>
              <w:topLinePunct w:val="0"/>
              <w:bidi w:val="0"/>
              <w:spacing w:line="520" w:lineRule="exact"/>
              <w:contextualSpacing/>
              <w:jc w:val="center"/>
              <w:rPr>
                <w:rFonts w:hint="default" w:ascii="Calibri" w:hAnsi="Calibri" w:eastAsia="CESI宋体-GB13000" w:cs="Calibri"/>
                <w:color w:val="auto"/>
                <w:spacing w:val="0"/>
                <w:sz w:val="24"/>
                <w:szCs w:val="24"/>
                <w:highlight w:val="none"/>
              </w:rPr>
            </w:pPr>
            <w:r>
              <w:rPr>
                <w:rFonts w:hint="default" w:ascii="Calibri" w:hAnsi="Calibri" w:eastAsia="CESI宋体-GB13000" w:cs="Calibri"/>
                <w:color w:val="auto"/>
                <w:spacing w:val="0"/>
                <w:sz w:val="24"/>
                <w:szCs w:val="24"/>
                <w:highlight w:val="none"/>
              </w:rPr>
              <w:t>100.</w:t>
            </w:r>
            <w:r>
              <w:rPr>
                <w:rFonts w:hint="default" w:ascii="Calibri" w:hAnsi="Calibri" w:eastAsia="CESI宋体-GB13000" w:cs="Calibri"/>
                <w:color w:val="auto"/>
                <w:spacing w:val="0"/>
                <w:sz w:val="24"/>
                <w:szCs w:val="24"/>
                <w:highlight w:val="none"/>
                <w:lang w:val="en-US" w:eastAsia="zh-CN"/>
              </w:rPr>
              <w:t>6</w:t>
            </w:r>
            <w:r>
              <w:rPr>
                <w:rFonts w:hint="default" w:ascii="Calibri" w:hAnsi="Calibri" w:eastAsia="CESI宋体-GB13000" w:cs="Calibri"/>
                <w:color w:val="auto"/>
                <w:spacing w:val="0"/>
                <w:sz w:val="24"/>
                <w:szCs w:val="24"/>
                <w:highlight w:val="none"/>
              </w:rPr>
              <w:t>%</w:t>
            </w:r>
          </w:p>
        </w:tc>
      </w:tr>
    </w:tbl>
    <w:p>
      <w:pPr>
        <w:pStyle w:val="2"/>
        <w:pageBreakBefore w:val="0"/>
        <w:kinsoku/>
        <w:overflowPunct/>
        <w:topLinePunct w:val="0"/>
        <w:bidi w:val="0"/>
        <w:spacing w:before="289" w:after="289" w:line="520" w:lineRule="exact"/>
        <w:rPr>
          <w:rFonts w:hint="eastAsia"/>
          <w:color w:val="auto"/>
          <w:spacing w:val="0"/>
          <w:highlight w:val="none"/>
        </w:rPr>
      </w:pPr>
      <w:bookmarkStart w:id="11" w:name="_Toc124060251"/>
    </w:p>
    <w:p>
      <w:pPr>
        <w:pStyle w:val="2"/>
        <w:pageBreakBefore w:val="0"/>
        <w:kinsoku/>
        <w:overflowPunct/>
        <w:topLinePunct w:val="0"/>
        <w:bidi w:val="0"/>
        <w:spacing w:before="289" w:after="289" w:line="520" w:lineRule="exact"/>
        <w:rPr>
          <w:rFonts w:hint="eastAsia" w:ascii="方正小标宋_GBK" w:hAnsi="方正小标宋_GBK" w:eastAsia="方正小标宋_GBK" w:cs="方正小标宋_GBK"/>
          <w:b/>
          <w:bCs/>
          <w:color w:val="auto"/>
          <w:spacing w:val="0"/>
          <w:highlight w:val="none"/>
        </w:rPr>
      </w:pPr>
      <w:r>
        <w:rPr>
          <w:rFonts w:hint="eastAsia" w:ascii="方正小标宋_GBK" w:hAnsi="方正小标宋_GBK" w:eastAsia="方正小标宋_GBK" w:cs="方正小标宋_GBK"/>
          <w:b/>
          <w:bCs/>
          <w:color w:val="auto"/>
          <w:spacing w:val="0"/>
          <w:highlight w:val="none"/>
        </w:rPr>
        <w:t>第三章  全面落实立德树人的根本任务</w:t>
      </w:r>
      <w:bookmarkEnd w:id="11"/>
    </w:p>
    <w:p>
      <w:pPr>
        <w:pStyle w:val="3"/>
        <w:pageBreakBefore w:val="0"/>
        <w:kinsoku/>
        <w:overflowPunct/>
        <w:topLinePunct w:val="0"/>
        <w:bidi w:val="0"/>
        <w:spacing w:before="289" w:after="289" w:line="520" w:lineRule="exact"/>
        <w:jc w:val="center"/>
        <w:rPr>
          <w:rFonts w:ascii="黑体" w:hAnsi="黑体" w:cs="黑体"/>
          <w:color w:val="auto"/>
          <w:spacing w:val="0"/>
          <w:sz w:val="32"/>
          <w:szCs w:val="32"/>
          <w:highlight w:val="none"/>
        </w:rPr>
      </w:pPr>
      <w:bookmarkStart w:id="12" w:name="_Toc124060252"/>
      <w:r>
        <w:rPr>
          <w:rFonts w:hint="eastAsia" w:ascii="黑体" w:hAnsi="黑体" w:eastAsia="黑体" w:cs="黑体"/>
          <w:color w:val="auto"/>
          <w:spacing w:val="0"/>
          <w:sz w:val="32"/>
          <w:szCs w:val="32"/>
          <w:highlight w:val="none"/>
        </w:rPr>
        <w:t>第一节 全面加强党对教育的领导</w:t>
      </w:r>
      <w:bookmarkEnd w:id="12"/>
    </w:p>
    <w:p>
      <w:pPr>
        <w:pStyle w:val="11"/>
        <w:keepNext w:val="0"/>
        <w:keepLines w:val="0"/>
        <w:pageBreakBefore w:val="0"/>
        <w:widowControl/>
        <w:shd w:val="clear" w:color="auto" w:fill="FFFFFF"/>
        <w:kinsoku/>
        <w:wordWrap w:val="0"/>
        <w:overflowPunct/>
        <w:topLinePunct w:val="0"/>
        <w:autoSpaceDE/>
        <w:autoSpaceDN/>
        <w:bidi w:val="0"/>
        <w:adjustRightInd/>
        <w:spacing w:beforeAutospacing="0" w:afterAutospacing="0" w:line="560" w:lineRule="exact"/>
        <w:ind w:firstLine="606" w:firstLineChars="200"/>
        <w:jc w:val="both"/>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1</w:t>
      </w:r>
      <w:r>
        <w:rPr>
          <w:rFonts w:ascii="仿宋_GB2312" w:hAnsi="仿宋_GB2312" w:eastAsia="仿宋_GB2312" w:cs="仿宋_GB2312"/>
          <w:b/>
          <w:bCs/>
          <w:color w:val="auto"/>
          <w:spacing w:val="0"/>
          <w:sz w:val="32"/>
          <w:szCs w:val="32"/>
          <w:highlight w:val="none"/>
        </w:rPr>
        <w:t>.</w:t>
      </w:r>
      <w:r>
        <w:rPr>
          <w:rFonts w:hint="eastAsia" w:ascii="仿宋_GB2312" w:hAnsi="仿宋_GB2312" w:eastAsia="仿宋_GB2312" w:cs="仿宋_GB2312"/>
          <w:b/>
          <w:bCs/>
          <w:color w:val="auto"/>
          <w:spacing w:val="0"/>
          <w:sz w:val="32"/>
          <w:szCs w:val="32"/>
          <w:highlight w:val="none"/>
        </w:rPr>
        <w:t>坚持</w:t>
      </w:r>
      <w:r>
        <w:rPr>
          <w:rFonts w:ascii="仿宋_GB2312" w:hAnsi="仿宋_GB2312" w:eastAsia="仿宋_GB2312" w:cs="仿宋_GB2312"/>
          <w:b/>
          <w:bCs/>
          <w:color w:val="auto"/>
          <w:spacing w:val="0"/>
          <w:sz w:val="32"/>
          <w:szCs w:val="32"/>
          <w:highlight w:val="none"/>
        </w:rPr>
        <w:t>党的领导，</w:t>
      </w:r>
      <w:r>
        <w:rPr>
          <w:rFonts w:hint="eastAsia" w:ascii="仿宋_GB2312" w:hAnsi="仿宋_GB2312" w:eastAsia="仿宋_GB2312" w:cs="仿宋_GB2312"/>
          <w:b/>
          <w:bCs/>
          <w:color w:val="auto"/>
          <w:spacing w:val="0"/>
          <w:sz w:val="32"/>
          <w:szCs w:val="32"/>
          <w:highlight w:val="none"/>
        </w:rPr>
        <w:t>确保实施教育强市战略。</w:t>
      </w:r>
    </w:p>
    <w:p>
      <w:pPr>
        <w:pStyle w:val="11"/>
        <w:keepNext w:val="0"/>
        <w:keepLines w:val="0"/>
        <w:pageBreakBefore w:val="0"/>
        <w:widowControl/>
        <w:shd w:val="clear" w:color="auto" w:fill="FFFFFF"/>
        <w:kinsoku/>
        <w:wordWrap w:val="0"/>
        <w:overflowPunct/>
        <w:topLinePunct w:val="0"/>
        <w:autoSpaceDE/>
        <w:autoSpaceDN/>
        <w:bidi w:val="0"/>
        <w:adjustRightInd/>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强化连州市委对教育的领导工作，实施教育强市战略，把教育发展作为连州市发展的基础工程抓好。坚持党对教育工作的全面领导，坚持教育以人民为中心，推进基本公共教育均等化、促进教育的供给侧结构性改革，破解教育的体制机制障碍，不断提高教育质量，让优质教育资源惠及人民群众，满足人民群众对教育的迫切需求，让人民群众在教育方面更有获得感。要健全党对教育工作全面领导的体制机制，把好方向，管好大局，抓好队伍，落实措施，确保党的教育方针政策的贯彻落实，实现全员育人、全程育人、全方位育人。建立党政领导干部深入基层、联系学校的制度。探索建立连州市教育工委，争取在清远北部率先形成党对教育全面领导的新机制，进一步加强党对教育的领导。</w:t>
      </w:r>
    </w:p>
    <w:p>
      <w:pPr>
        <w:keepNext w:val="0"/>
        <w:keepLines w:val="0"/>
        <w:pageBreakBefore w:val="0"/>
        <w:kinsoku/>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b/>
          <w:bCs/>
          <w:color w:val="auto"/>
          <w:spacing w:val="0"/>
          <w:kern w:val="0"/>
          <w:sz w:val="32"/>
          <w:szCs w:val="32"/>
          <w:highlight w:val="none"/>
        </w:rPr>
      </w:pPr>
      <w:r>
        <w:rPr>
          <w:rFonts w:ascii="仿宋_GB2312" w:hAnsi="仿宋_GB2312" w:eastAsia="仿宋_GB2312" w:cs="仿宋_GB2312"/>
          <w:b/>
          <w:bCs/>
          <w:color w:val="auto"/>
          <w:spacing w:val="0"/>
          <w:kern w:val="0"/>
          <w:sz w:val="32"/>
          <w:szCs w:val="32"/>
          <w:highlight w:val="none"/>
        </w:rPr>
        <w:t>2.</w:t>
      </w:r>
      <w:r>
        <w:rPr>
          <w:rFonts w:hint="eastAsia" w:ascii="仿宋_GB2312" w:hAnsi="仿宋_GB2312" w:eastAsia="仿宋_GB2312" w:cs="仿宋_GB2312"/>
          <w:b/>
          <w:bCs/>
          <w:color w:val="auto"/>
          <w:spacing w:val="0"/>
          <w:kern w:val="0"/>
          <w:sz w:val="32"/>
          <w:szCs w:val="32"/>
          <w:highlight w:val="none"/>
        </w:rPr>
        <w:t>加强学校党组织建设，发挥政治核心作用</w:t>
      </w:r>
    </w:p>
    <w:p>
      <w:pPr>
        <w:pStyle w:val="11"/>
        <w:keepNext w:val="0"/>
        <w:keepLines w:val="0"/>
        <w:pageBreakBefore w:val="0"/>
        <w:widowControl/>
        <w:shd w:val="clear" w:color="auto" w:fill="FFFFFF"/>
        <w:kinsoku/>
        <w:overflowPunct/>
        <w:topLinePunct w:val="0"/>
        <w:autoSpaceDE/>
        <w:autoSpaceDN/>
        <w:bidi w:val="0"/>
        <w:adjustRightInd/>
        <w:snapToGrid w:val="0"/>
        <w:spacing w:beforeAutospacing="0" w:afterAutospacing="0" w:line="560" w:lineRule="exact"/>
        <w:ind w:firstLine="606" w:firstLineChars="200"/>
        <w:jc w:val="both"/>
        <w:textAlignment w:val="auto"/>
        <w:rPr>
          <w:rFonts w:hint="eastAsia"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rPr>
        <w:t>学校党组织要真正成为学校的战斗堡垒，</w:t>
      </w:r>
      <w:r>
        <w:rPr>
          <w:rFonts w:hint="eastAsia" w:ascii="仿宋_GB2312" w:hAnsi="仿宋_GB2312" w:eastAsia="仿宋_GB2312" w:cs="仿宋_GB2312"/>
          <w:color w:val="auto"/>
          <w:spacing w:val="0"/>
          <w:sz w:val="32"/>
          <w:szCs w:val="32"/>
          <w:highlight w:val="none"/>
          <w:shd w:val="clear" w:color="auto" w:fill="FFFFFF"/>
        </w:rPr>
        <w:t>宣传执行党的理论和路线方针政策，宣传执行党中央、上级党组织和本组织的决议，引导学校全面贯彻党的教育方针，依法办学、规范办学；把思想政治工作贯穿学校工作各工面， 贯穿教育教学全过程，激发教职工主人翁意识和工作热情，把教书育人落到实处；深入开展教育教学改革，促进学校提高教育质量、培养合格人才；引领校园文化，坚持用社会主义核心价值观塑造校园文化，加强社会公德、职业道德、家庭美德，个人品德教育，开展精神文明创建活动，组织丰富多彩的文化活动，推动形成良好校风教风学风；加强自身建设，完善组织设置和工作机制，加强党组织班子成员和党务干部管理，做好发展党员和党员教育管理服务工作，严格</w:t>
      </w:r>
      <w:r>
        <w:rPr>
          <w:rFonts w:hint="eastAsia" w:ascii="仿宋_GB2312" w:hAnsi="仿宋_GB2312" w:eastAsia="仿宋_GB2312" w:cs="仿宋_GB2312"/>
          <w:color w:val="auto"/>
          <w:spacing w:val="0"/>
          <w:sz w:val="32"/>
          <w:szCs w:val="32"/>
          <w:highlight w:val="none"/>
          <w:shd w:val="clear" w:color="auto" w:fill="FFFFFF"/>
          <w:lang w:eastAsia="zh-CN"/>
        </w:rPr>
        <w:t>执行</w:t>
      </w:r>
      <w:r>
        <w:rPr>
          <w:rFonts w:hint="eastAsia" w:ascii="仿宋_GB2312" w:hAnsi="仿宋_GB2312" w:eastAsia="仿宋_GB2312" w:cs="仿宋_GB2312"/>
          <w:color w:val="auto"/>
          <w:spacing w:val="0"/>
          <w:sz w:val="32"/>
          <w:szCs w:val="32"/>
          <w:highlight w:val="none"/>
          <w:shd w:val="clear" w:color="auto" w:fill="FFFFFF"/>
        </w:rPr>
        <w:t>组织生活制度，认真贯彻民主集中制，强化党组织日常监督和党员民主监督，抓好党风廉政建设。</w:t>
      </w:r>
    </w:p>
    <w:p>
      <w:pPr>
        <w:pStyle w:val="3"/>
        <w:pageBreakBefore w:val="0"/>
        <w:kinsoku/>
        <w:overflowPunct/>
        <w:topLinePunct w:val="0"/>
        <w:bidi w:val="0"/>
        <w:spacing w:before="289" w:after="289" w:line="520" w:lineRule="exact"/>
        <w:jc w:val="center"/>
        <w:rPr>
          <w:rFonts w:hint="eastAsia" w:ascii="黑体" w:hAnsi="黑体" w:eastAsia="黑体" w:cs="黑体"/>
          <w:b/>
          <w:color w:val="auto"/>
          <w:spacing w:val="0"/>
          <w:sz w:val="32"/>
          <w:szCs w:val="32"/>
          <w:highlight w:val="none"/>
          <w:shd w:val="clear" w:color="auto" w:fill="FFFFFF"/>
        </w:rPr>
      </w:pPr>
      <w:bookmarkStart w:id="13" w:name="_Toc124060253"/>
      <w:r>
        <w:rPr>
          <w:rFonts w:hint="eastAsia" w:ascii="黑体" w:hAnsi="黑体" w:eastAsia="黑体" w:cs="黑体"/>
          <w:color w:val="auto"/>
          <w:spacing w:val="0"/>
          <w:sz w:val="32"/>
          <w:szCs w:val="32"/>
          <w:highlight w:val="none"/>
        </w:rPr>
        <w:t>第二节  立德树人，全面加强全体师生的政治思想教育</w:t>
      </w:r>
      <w:bookmarkEnd w:id="13"/>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1.完善学校思想政治教育工作体系。</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加强师生的理想信念教育，坚持思想政治理论课在课程体系中的政治引领和价值引领作用，把社会主义核心价值观贯穿到教书育人全过程，引导学生立德成人、立志成才，树立正确世界观、人生观、价值观。改进思想政治工作的方式方法</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利用校内外教育资源、贴近师生实际开展思想政治工作，重视运用新媒体新技术，推动思政工作传统优势同信息技术高度融合，构建“大思政”格局，创新理念思路、内容形式、方法手段</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加强校园文化建设，将学校办学理念、校训校风、管理措施、服务体系以及环境设施都聚焦到育人上，实现环境育人、管理育人、服务育人，为培养德智体美劳全面发展的社会主义建设者和接班人提供坚强的思想保证。</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2.加强未成年人思想道德建设。</w:t>
      </w:r>
    </w:p>
    <w:p>
      <w:pPr>
        <w:pStyle w:val="11"/>
        <w:keepNext w:val="0"/>
        <w:keepLines w:val="0"/>
        <w:pageBreakBefore w:val="0"/>
        <w:widowControl/>
        <w:shd w:val="clear" w:color="auto" w:fill="FFFFFF"/>
        <w:kinsoku/>
        <w:wordWrap/>
        <w:overflowPunct/>
        <w:topLinePunct w:val="0"/>
        <w:autoSpaceDE/>
        <w:autoSpaceDN/>
        <w:bidi w:val="0"/>
        <w:adjustRightInd/>
        <w:spacing w:beforeAutospacing="0" w:afterAutospacing="0" w:line="560" w:lineRule="exact"/>
        <w:ind w:firstLine="606" w:firstLineChars="200"/>
        <w:textAlignment w:val="auto"/>
        <w:rPr>
          <w:rFonts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shd w:val="clear" w:color="auto" w:fill="FFFFFF"/>
        </w:rPr>
        <w:t>深入开展社会主义核心价值观教育，大力加强革命传统教育、爱国主义教育和国防教育；加强党史、新中国史、改革开放史和社会主义发展史教育（简称“四史教育”），充分运用各种“四史教育”资源，以史鉴今、资政育人，增强学生对中国特色社会主义的道路自信、理论自信、制度自信和文化自信。进一步完善未成年人思想道德建设常态化管理的领导体制和工作机制，坚持把德育工作放在首位，创建市级共青团名师工作室、少先队名师工作室各1个，创建县级共青团名师工作室、少先队名师工作室各2</w:t>
      </w:r>
      <w:r>
        <w:rPr>
          <w:rFonts w:hint="eastAsia" w:ascii="仿宋_GB2312" w:hAnsi="仿宋_GB2312" w:eastAsia="仿宋_GB2312" w:cs="仿宋_GB2312"/>
          <w:color w:val="FF0000"/>
          <w:spacing w:val="0"/>
          <w:sz w:val="32"/>
          <w:szCs w:val="32"/>
          <w:highlight w:val="none"/>
          <w:shd w:val="clear" w:color="auto" w:fill="FFFFFF"/>
        </w:rPr>
        <w:t>-</w:t>
      </w:r>
      <w:r>
        <w:rPr>
          <w:rFonts w:hint="eastAsia" w:ascii="仿宋_GB2312" w:hAnsi="仿宋_GB2312" w:eastAsia="仿宋_GB2312" w:cs="仿宋_GB2312"/>
          <w:color w:val="auto"/>
          <w:spacing w:val="0"/>
          <w:sz w:val="32"/>
          <w:szCs w:val="32"/>
          <w:highlight w:val="none"/>
          <w:shd w:val="clear" w:color="auto" w:fill="FFFFFF"/>
        </w:rPr>
        <w:t>3个，开展丰富多彩的教育实践活动及共青团、少先队活动，教育和引导学生扣好人生第一粒扣子，提高德育实效。持续推进文明校园和文化建设示范校创建工作。</w:t>
      </w:r>
      <w:r>
        <w:rPr>
          <w:rFonts w:hint="eastAsia" w:ascii="仿宋_GB2312" w:hAnsi="仿宋_GB2312" w:eastAsia="仿宋_GB2312" w:cs="仿宋_GB2312"/>
          <w:color w:val="auto"/>
          <w:spacing w:val="0"/>
          <w:sz w:val="32"/>
          <w:szCs w:val="32"/>
          <w:highlight w:val="none"/>
        </w:rPr>
        <w:t>充分利用红七军在连州、红军长征部队在连州等红色革命文化资源，打造一批青少年红色教育基地、爱国主义教育基地、国防教育基地，为青少年的革命传统教育提供更多的资源和场</w:t>
      </w:r>
      <w:r>
        <w:rPr>
          <w:rFonts w:hint="eastAsia" w:ascii="仿宋_GB2312" w:hAnsi="仿宋_GB2312" w:eastAsia="仿宋_GB2312" w:cs="仿宋_GB2312"/>
          <w:color w:val="auto"/>
          <w:spacing w:val="0"/>
          <w:sz w:val="32"/>
          <w:szCs w:val="32"/>
          <w:highlight w:val="none"/>
          <w:shd w:val="clear" w:color="auto" w:fill="FFFFFF"/>
        </w:rPr>
        <w:t>所。积极开展劳模精神、工匠精神和职业道德教育，为学生走向职业生涯奠定职业思想基础。</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b/>
          <w:bCs/>
          <w:color w:val="auto"/>
          <w:spacing w:val="0"/>
          <w:sz w:val="32"/>
          <w:szCs w:val="32"/>
          <w:highlight w:val="none"/>
        </w:rPr>
        <w:t>3.开展中华优秀传统文化教育。</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shd w:val="clear" w:color="auto" w:fill="FFFFFF"/>
        </w:rPr>
        <w:t>遵循学生认知规律和教育教学规律，按照一体化、分学段、有序推进的原则，把中华优秀传统文化全方位融入思想道德教育、文化知识教育、艺术体育教育、社会实践教育各环节，贯穿于启蒙教育、基础教育、职业教育、继续教育各领域。开展“少年传承中华传统美德”系列教育活动。加强中华优秀传统文化相关学科建设，鼓励学校创作系列绘本、童谣、儿歌、动画等校本教材，丰富拓展校园文化，推进戏曲、书法、高雅艺术、传统体育等进校园，实施中华经典诵读工程，开设中华文化公开课，抓好传统文化教育成果展示活动，开展好国民语言教育。充分运用连州市建设</w:t>
      </w:r>
      <w:r>
        <w:rPr>
          <w:rFonts w:hint="eastAsia" w:ascii="仿宋_GB2312" w:hAnsi="仿宋_GB2312" w:eastAsia="仿宋_GB2312" w:cs="仿宋_GB2312"/>
          <w:color w:val="auto"/>
          <w:spacing w:val="0"/>
          <w:sz w:val="32"/>
          <w:szCs w:val="32"/>
          <w:highlight w:val="none"/>
        </w:rPr>
        <w:t>国家历史文化魅力城市的资源，丰富中小学生的传统文化教育活动。</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4.全面构建体现时代特征的劳动教育体系。</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把握劳动教育基本内涵，明确劳动教育的目标：帮助学生形成马克思主义劳动观，牢固树立劳动最光荣的观念，培养勤俭、奋斗、创新、奉献的劳动精神，具备满足生存发展需要的基本劳动能力，形成良好劳动习惯的劳动。设置劳动教育课程，将劳动教育纳入中小学、职业院校人才培养方案，中小学劳动教育课每周不少于1课时，职业院校以实习实训课为主要载体开展劳动教育。健全劳动素养评价制度，将劳动素养纳入学生综合素质评价体系，制定评价标准，建立激励机制，加强实际劳动技能和价值</w:t>
      </w:r>
      <w:r>
        <w:rPr>
          <w:rFonts w:hint="eastAsia" w:ascii="仿宋_GB2312" w:hAnsi="仿宋_GB2312" w:eastAsia="仿宋_GB2312" w:cs="仿宋_GB2312"/>
          <w:color w:val="auto"/>
          <w:spacing w:val="0"/>
          <w:sz w:val="32"/>
          <w:szCs w:val="32"/>
          <w:highlight w:val="none"/>
          <w:lang w:eastAsia="zh-CN"/>
        </w:rPr>
        <w:t>体系认知</w:t>
      </w:r>
      <w:r>
        <w:rPr>
          <w:rFonts w:hint="eastAsia" w:ascii="仿宋_GB2312" w:hAnsi="仿宋_GB2312" w:eastAsia="仿宋_GB2312" w:cs="仿宋_GB2312"/>
          <w:color w:val="auto"/>
          <w:spacing w:val="0"/>
          <w:sz w:val="32"/>
          <w:szCs w:val="32"/>
          <w:highlight w:val="none"/>
        </w:rPr>
        <w:t>情况的考核。广泛开展劳动教育实践活动，开展“家务劳动小能手”等活动，发挥家庭在劳动教育中的基础作用，让孩子养成从小爱劳动的好习惯；鼓励学校（家委会）和社区等组织开展学生生活技能展示活动；要发挥社会在劳动教育中的支持作用，充分利用社会各方面资源，为劳动教育提供必要保障。</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b/>
          <w:bCs/>
          <w:color w:val="auto"/>
          <w:spacing w:val="0"/>
          <w:sz w:val="32"/>
          <w:szCs w:val="32"/>
          <w:highlight w:val="none"/>
        </w:rPr>
      </w:pPr>
      <w:bookmarkStart w:id="14" w:name="_Toc472603665"/>
      <w:r>
        <w:rPr>
          <w:rFonts w:hint="eastAsia" w:ascii="仿宋_GB2312" w:hAnsi="仿宋_GB2312" w:eastAsia="仿宋_GB2312" w:cs="仿宋_GB2312"/>
          <w:b/>
          <w:bCs/>
          <w:color w:val="auto"/>
          <w:spacing w:val="0"/>
          <w:sz w:val="32"/>
          <w:szCs w:val="32"/>
          <w:highlight w:val="none"/>
        </w:rPr>
        <w:t>5.重视培育核心素养，促进学生全面发展。</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rPr>
        <w:t>根据学生发展核心素养体系和学业质量标准，培养学生应具备的适应终身发展和社会发展需要的必备品格和关键能力，突出强调家国情怀、社会关爱、个人修养，更加注重自主发展、合作参与、创新实践。要从各级各类学校实际情况和学生特点出发，积极开展课程改革，把核心素养和学业质量要求落实到各学科教学中。</w:t>
      </w:r>
      <w:r>
        <w:rPr>
          <w:rFonts w:hint="eastAsia" w:ascii="仿宋_GB2312" w:hAnsi="仿宋_GB2312" w:eastAsia="仿宋_GB2312" w:cs="仿宋_GB2312"/>
          <w:color w:val="auto"/>
          <w:spacing w:val="0"/>
          <w:sz w:val="32"/>
          <w:szCs w:val="32"/>
          <w:highlight w:val="none"/>
          <w:shd w:val="clear" w:color="auto" w:fill="FFFFFF"/>
        </w:rPr>
        <w:t>把禁毒、扫黑除恶、防邪反邪等教育工作落到实处，引导教育学生珍爱生命、健康成长。</w:t>
      </w:r>
      <w:r>
        <w:rPr>
          <w:rFonts w:hint="eastAsia" w:ascii="仿宋_GB2312" w:hAnsi="仿宋_GB2312" w:eastAsia="仿宋_GB2312" w:cs="仿宋_GB2312"/>
          <w:color w:val="auto"/>
          <w:spacing w:val="0"/>
          <w:sz w:val="32"/>
          <w:szCs w:val="32"/>
          <w:highlight w:val="none"/>
        </w:rPr>
        <w:t>要按照身心健康发展和素质教育的要求，健全中小学、幼儿园的体育、卫生、艺术、心理健康教育体系。要重视体育在健全学生人格品质、增强身体素质的作用，完善学校体育基本制度，按照国家标准完善体育场地设施和卫生条件，按照“天天锻炼、健康成长、终身</w:t>
      </w:r>
      <w:r>
        <w:rPr>
          <w:rFonts w:hint="eastAsia" w:ascii="仿宋_GB2312" w:hAnsi="仿宋_GB2312" w:eastAsia="仿宋_GB2312" w:cs="仿宋_GB2312"/>
          <w:color w:val="auto"/>
          <w:spacing w:val="0"/>
          <w:sz w:val="32"/>
          <w:szCs w:val="32"/>
          <w:highlight w:val="none"/>
          <w:lang w:eastAsia="zh-CN"/>
        </w:rPr>
        <w:t>受</w:t>
      </w:r>
      <w:r>
        <w:rPr>
          <w:rFonts w:hint="eastAsia" w:ascii="仿宋_GB2312" w:hAnsi="仿宋_GB2312" w:eastAsia="仿宋_GB2312" w:cs="仿宋_GB2312"/>
          <w:color w:val="auto"/>
          <w:spacing w:val="0"/>
          <w:sz w:val="32"/>
          <w:szCs w:val="32"/>
          <w:highlight w:val="none"/>
        </w:rPr>
        <w:t>益”的目标，坚持课堂教学与课外活动相结合、提高技能与培养兴趣相促进、群体活动与运动竞赛相协调，积极推进青少年校园足球，继续积极创建足球推广学校和足球特色学校，全面提升体育教育质量，充分发挥体育在推进素质教育中的作用，提升学生体育素养和健康认知水平，增强学生身体素质。重视学生的心理健康，按要求配备心理教师和保健教师，建立和完善心理辅导室和保健室；遵循中小学生身心发展规律，帮助学生正确认识自我，提高自我</w:t>
      </w:r>
      <w:r>
        <w:rPr>
          <w:rFonts w:hint="eastAsia" w:ascii="仿宋_GB2312" w:hAnsi="仿宋_GB2312" w:eastAsia="仿宋_GB2312" w:cs="仿宋_GB2312"/>
          <w:color w:val="auto"/>
          <w:spacing w:val="0"/>
          <w:sz w:val="32"/>
          <w:szCs w:val="32"/>
          <w:highlight w:val="none"/>
          <w:lang w:eastAsia="zh-CN"/>
        </w:rPr>
        <w:t>认知</w:t>
      </w:r>
      <w:r>
        <w:rPr>
          <w:rFonts w:hint="eastAsia" w:ascii="仿宋_GB2312" w:hAnsi="仿宋_GB2312" w:eastAsia="仿宋_GB2312" w:cs="仿宋_GB2312"/>
          <w:color w:val="auto"/>
          <w:spacing w:val="0"/>
          <w:sz w:val="32"/>
          <w:szCs w:val="32"/>
          <w:highlight w:val="none"/>
        </w:rPr>
        <w:t>能力，提高全体学生的心理素质，培养学生积极乐观、自尊自信、坚韧顽强的心理品质，促进学生人格健全发展，为学生健康成长和幸福生活奠定基础。</w:t>
      </w:r>
      <w:r>
        <w:rPr>
          <w:rFonts w:hint="eastAsia" w:ascii="仿宋_GB2312" w:hAnsi="仿宋_GB2312" w:eastAsia="仿宋_GB2312" w:cs="仿宋_GB2312"/>
          <w:color w:val="auto"/>
          <w:spacing w:val="0"/>
          <w:sz w:val="32"/>
          <w:szCs w:val="32"/>
          <w:highlight w:val="none"/>
          <w:shd w:val="clear" w:color="auto" w:fill="FFFFFF"/>
        </w:rPr>
        <w:t>健全面向人人的学校美育育人机制，整体推进各级各类学校美育发展，弘扬中华美育精神，以美育人、以美化人、以美培元，把美育纳入各级各类学校人才培养全过程，贯穿学校教育各学段，</w:t>
      </w:r>
      <w:r>
        <w:rPr>
          <w:rFonts w:hint="eastAsia" w:ascii="仿宋_GB2312" w:hAnsi="仿宋_GB2312" w:eastAsia="仿宋_GB2312" w:cs="仿宋_GB2312"/>
          <w:color w:val="auto"/>
          <w:spacing w:val="0"/>
          <w:sz w:val="32"/>
          <w:szCs w:val="32"/>
          <w:highlight w:val="none"/>
        </w:rPr>
        <w:t>提高学生审美和人文素养，建立课堂教学、课外活动和校园文化“三位一体”的艺术教育体系，</w:t>
      </w:r>
      <w:r>
        <w:rPr>
          <w:rFonts w:hint="eastAsia" w:ascii="仿宋_GB2312" w:hAnsi="仿宋_GB2312" w:eastAsia="仿宋_GB2312" w:cs="仿宋_GB2312"/>
          <w:color w:val="auto"/>
          <w:spacing w:val="0"/>
          <w:sz w:val="32"/>
          <w:szCs w:val="32"/>
          <w:highlight w:val="none"/>
          <w:shd w:val="clear" w:color="auto" w:fill="FFFFFF"/>
        </w:rPr>
        <w:t>形成“一校一品”、“一校多品”的学校美育发展新局面；</w:t>
      </w:r>
      <w:r>
        <w:rPr>
          <w:rFonts w:hint="eastAsia" w:ascii="仿宋_GB2312" w:hAnsi="仿宋_GB2312" w:eastAsia="仿宋_GB2312" w:cs="仿宋_GB2312"/>
          <w:color w:val="auto"/>
          <w:spacing w:val="0"/>
          <w:sz w:val="32"/>
          <w:szCs w:val="32"/>
          <w:highlight w:val="none"/>
        </w:rPr>
        <w:t>积极弘扬具有本地特色的传统文化，</w:t>
      </w:r>
      <w:r>
        <w:rPr>
          <w:rFonts w:hint="eastAsia" w:ascii="仿宋_GB2312" w:hAnsi="仿宋_GB2312" w:eastAsia="仿宋_GB2312" w:cs="仿宋_GB2312"/>
          <w:color w:val="auto"/>
          <w:spacing w:val="0"/>
          <w:sz w:val="32"/>
          <w:szCs w:val="32"/>
          <w:highlight w:val="none"/>
          <w:shd w:val="clear" w:color="auto" w:fill="FFFFFF"/>
        </w:rPr>
        <w:t>鼓励特色发展，</w:t>
      </w:r>
      <w:r>
        <w:rPr>
          <w:rFonts w:hint="eastAsia" w:ascii="仿宋_GB2312" w:hAnsi="仿宋_GB2312" w:eastAsia="仿宋_GB2312" w:cs="仿宋_GB2312"/>
          <w:color w:val="auto"/>
          <w:spacing w:val="0"/>
          <w:sz w:val="32"/>
          <w:szCs w:val="32"/>
          <w:highlight w:val="none"/>
        </w:rPr>
        <w:t>形成民族教育特色品牌，</w:t>
      </w:r>
      <w:r>
        <w:rPr>
          <w:rFonts w:hint="eastAsia" w:ascii="仿宋_GB2312" w:hAnsi="仿宋_GB2312" w:eastAsia="仿宋_GB2312" w:cs="仿宋_GB2312"/>
          <w:color w:val="auto"/>
          <w:spacing w:val="0"/>
          <w:sz w:val="32"/>
          <w:szCs w:val="32"/>
          <w:highlight w:val="none"/>
          <w:shd w:val="clear" w:color="auto" w:fill="FFFFFF"/>
        </w:rPr>
        <w:t>缩小城乡差距和校际差距，让所有在校学生都享有接受美育的机会，学生审美和人文素养明显提升。</w:t>
      </w:r>
    </w:p>
    <w:bookmarkEnd w:id="14"/>
    <w:p>
      <w:pPr>
        <w:pageBreakBefore w:val="0"/>
        <w:kinsoku/>
        <w:overflowPunct/>
        <w:topLinePunct w:val="0"/>
        <w:bidi w:val="0"/>
        <w:snapToGrid w:val="0"/>
        <w:spacing w:before="292" w:beforeLines="50" w:after="292" w:afterLines="50" w:line="560" w:lineRule="exact"/>
        <w:jc w:val="center"/>
        <w:rPr>
          <w:rFonts w:hint="eastAsia" w:ascii="黑体" w:hAnsi="黑体" w:eastAsia="黑体" w:cs="黑体"/>
          <w:color w:val="auto"/>
          <w:spacing w:val="0"/>
          <w:kern w:val="0"/>
          <w:sz w:val="32"/>
          <w:szCs w:val="32"/>
          <w:highlight w:val="none"/>
        </w:rPr>
      </w:pPr>
      <w:r>
        <w:rPr>
          <w:rFonts w:hint="eastAsia" w:ascii="黑体" w:hAnsi="黑体" w:eastAsia="黑体" w:cs="黑体"/>
          <w:color w:val="auto"/>
          <w:spacing w:val="0"/>
          <w:kern w:val="0"/>
          <w:sz w:val="32"/>
          <w:szCs w:val="32"/>
          <w:highlight w:val="none"/>
        </w:rPr>
        <w:t xml:space="preserve">第三节 </w:t>
      </w:r>
      <w:r>
        <w:rPr>
          <w:rFonts w:hint="eastAsia" w:ascii="黑体" w:hAnsi="黑体" w:eastAsia="黑体" w:cs="黑体"/>
          <w:color w:val="auto"/>
          <w:spacing w:val="0"/>
          <w:kern w:val="0"/>
          <w:sz w:val="32"/>
          <w:szCs w:val="32"/>
          <w:highlight w:val="none"/>
          <w:lang w:val="en-US" w:eastAsia="zh-CN"/>
        </w:rPr>
        <w:t xml:space="preserve"> </w:t>
      </w:r>
      <w:r>
        <w:rPr>
          <w:rFonts w:hint="eastAsia" w:ascii="黑体" w:hAnsi="黑体" w:eastAsia="黑体" w:cs="黑体"/>
          <w:color w:val="auto"/>
          <w:spacing w:val="0"/>
          <w:kern w:val="0"/>
          <w:sz w:val="32"/>
          <w:szCs w:val="32"/>
          <w:highlight w:val="none"/>
        </w:rPr>
        <w:t>营造全社会关心青少年健康成长的氛围</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加大对教育的宣传力度，宣传党的教育方针，宣传教育改革与发展举措和成果，宣传尊师重教的典型事例。不断创新宣传方式，重视互联网、新媒体的作用，以全媒体的视角，全面系统报道全市教育发展的动态及成果，更适切地回应家长及社会关注的教育问题，从而更加理解教育、认同教育、支持教育。要进一步</w:t>
      </w:r>
      <w:r>
        <w:rPr>
          <w:rStyle w:val="14"/>
          <w:rFonts w:hint="eastAsia" w:ascii="仿宋_GB2312" w:hAnsi="仿宋_GB2312" w:eastAsia="仿宋_GB2312" w:cs="仿宋_GB2312"/>
          <w:b w:val="0"/>
          <w:bCs/>
          <w:color w:val="auto"/>
          <w:spacing w:val="0"/>
          <w:sz w:val="32"/>
          <w:szCs w:val="32"/>
          <w:highlight w:val="none"/>
          <w:shd w:val="clear" w:color="auto" w:fill="FFFFFF"/>
        </w:rPr>
        <w:t>加强学校、家庭社会的协同育人，</w:t>
      </w:r>
      <w:r>
        <w:rPr>
          <w:rFonts w:hint="eastAsia" w:ascii="仿宋_GB2312" w:hAnsi="仿宋_GB2312" w:eastAsia="仿宋_GB2312" w:cs="仿宋_GB2312"/>
          <w:color w:val="auto"/>
          <w:spacing w:val="0"/>
          <w:sz w:val="32"/>
          <w:szCs w:val="32"/>
          <w:highlight w:val="none"/>
          <w:shd w:val="clear" w:color="auto" w:fill="FFFFFF"/>
        </w:rPr>
        <w:t>充分发挥家长学校、家长委员会的作用，营造协同育人的良好环境和通畅渠道。部门联动，组建连州市家庭教育讲师团，协同镇</w:t>
      </w:r>
      <w:r>
        <w:rPr>
          <w:rFonts w:hint="eastAsia" w:ascii="仿宋_GB2312" w:hAnsi="仿宋_GB2312" w:eastAsia="仿宋_GB2312" w:cs="仿宋_GB2312"/>
          <w:color w:val="auto"/>
          <w:spacing w:val="0"/>
          <w:sz w:val="32"/>
          <w:szCs w:val="32"/>
          <w:highlight w:val="none"/>
          <w:shd w:val="clear" w:color="auto" w:fill="FFFFFF"/>
          <w:lang w:eastAsia="zh-CN"/>
        </w:rPr>
        <w:t>（乡）</w:t>
      </w:r>
      <w:r>
        <w:rPr>
          <w:rFonts w:hint="eastAsia" w:ascii="仿宋_GB2312" w:hAnsi="仿宋_GB2312" w:eastAsia="仿宋_GB2312" w:cs="仿宋_GB2312"/>
          <w:color w:val="auto"/>
          <w:spacing w:val="0"/>
          <w:sz w:val="32"/>
          <w:szCs w:val="32"/>
          <w:highlight w:val="none"/>
          <w:shd w:val="clear" w:color="auto" w:fill="FFFFFF"/>
        </w:rPr>
        <w:t>、社区常态化开展接地气、本土化、形式多样的家庭教育活动，广泛深入宣传家庭教育的重要作用和科学教育理念。持续开展“家庭总动员  幸福来相伴”积极教育“家庭三个践行”活动，强化家校共育成果，宣传推广一批家庭教育典型经验，开展示范性家长委员会的创建和评选工作，发挥示范带动作用。围绕“七个一”推进“积极教育”，</w:t>
      </w:r>
      <w:r>
        <w:rPr>
          <w:rFonts w:hint="eastAsia" w:ascii="仿宋_GB2312" w:hAnsi="仿宋_GB2312" w:eastAsia="仿宋_GB2312" w:cs="仿宋_GB2312"/>
          <w:color w:val="auto"/>
          <w:spacing w:val="0"/>
          <w:sz w:val="32"/>
          <w:szCs w:val="32"/>
          <w:highlight w:val="none"/>
        </w:rPr>
        <w:t>营造全社会教育、关心青少年健康成长的良好社会氛围。</w:t>
      </w:r>
    </w:p>
    <w:p>
      <w:pPr>
        <w:pageBreakBefore w:val="0"/>
        <w:kinsoku/>
        <w:overflowPunct/>
        <w:topLinePunct w:val="0"/>
        <w:bidi w:val="0"/>
        <w:snapToGrid w:val="0"/>
        <w:spacing w:before="292" w:beforeLines="50" w:after="292" w:afterLines="50" w:line="520" w:lineRule="exact"/>
        <w:ind w:firstLine="606" w:firstLineChars="200"/>
        <w:rPr>
          <w:rFonts w:ascii="楷体_GB2312" w:hAnsi="楷体_GB2312" w:eastAsia="楷体_GB2312" w:cs="楷体_GB2312"/>
          <w:color w:val="auto"/>
          <w:spacing w:val="0"/>
          <w:sz w:val="32"/>
          <w:szCs w:val="32"/>
          <w:highlight w:val="none"/>
        </w:rPr>
      </w:pPr>
    </w:p>
    <w:p>
      <w:pPr>
        <w:pStyle w:val="2"/>
        <w:pageBreakBefore w:val="0"/>
        <w:kinsoku/>
        <w:overflowPunct/>
        <w:topLinePunct w:val="0"/>
        <w:bidi w:val="0"/>
        <w:spacing w:before="292" w:after="292" w:line="520" w:lineRule="exact"/>
        <w:rPr>
          <w:rFonts w:hint="eastAsia" w:ascii="方正小标宋_GBK" w:hAnsi="方正小标宋_GBK" w:eastAsia="方正小标宋_GBK" w:cs="方正小标宋_GBK"/>
          <w:b/>
          <w:bCs/>
          <w:color w:val="auto"/>
          <w:spacing w:val="0"/>
          <w:highlight w:val="none"/>
        </w:rPr>
      </w:pPr>
      <w:bookmarkStart w:id="15" w:name="_Toc124060254"/>
      <w:r>
        <w:rPr>
          <w:rFonts w:hint="eastAsia" w:ascii="方正小标宋_GBK" w:hAnsi="方正小标宋_GBK" w:eastAsia="方正小标宋_GBK" w:cs="方正小标宋_GBK"/>
          <w:b/>
          <w:bCs/>
          <w:color w:val="auto"/>
          <w:spacing w:val="0"/>
          <w:highlight w:val="none"/>
        </w:rPr>
        <w:t>第四章  全面推进教育高质量发展</w:t>
      </w:r>
      <w:bookmarkEnd w:id="15"/>
    </w:p>
    <w:p>
      <w:pPr>
        <w:pStyle w:val="3"/>
        <w:pageBreakBefore w:val="0"/>
        <w:kinsoku/>
        <w:overflowPunct/>
        <w:topLinePunct w:val="0"/>
        <w:bidi w:val="0"/>
        <w:spacing w:before="292" w:after="292" w:line="520" w:lineRule="exact"/>
        <w:jc w:val="center"/>
        <w:rPr>
          <w:rFonts w:hint="eastAsia" w:ascii="黑体" w:hAnsi="黑体" w:eastAsia="黑体" w:cs="黑体"/>
          <w:color w:val="auto"/>
          <w:spacing w:val="0"/>
          <w:sz w:val="32"/>
          <w:szCs w:val="32"/>
          <w:highlight w:val="none"/>
        </w:rPr>
      </w:pPr>
      <w:bookmarkStart w:id="16" w:name="_Toc124060255"/>
      <w:r>
        <w:rPr>
          <w:rFonts w:hint="eastAsia" w:ascii="黑体" w:hAnsi="黑体" w:eastAsia="黑体" w:cs="黑体"/>
          <w:color w:val="auto"/>
          <w:spacing w:val="0"/>
          <w:sz w:val="32"/>
          <w:szCs w:val="32"/>
          <w:highlight w:val="none"/>
        </w:rPr>
        <w:t>第一节  坚持普及普惠优质，大力发展学前教育</w:t>
      </w:r>
      <w:bookmarkEnd w:id="16"/>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b w:val="0"/>
          <w:bCs w:val="0"/>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推进学前教育普惠安全优质发展。</w:t>
      </w:r>
      <w:r>
        <w:rPr>
          <w:rFonts w:hint="eastAsia" w:ascii="仿宋_GB2312" w:hAnsi="仿宋_GB2312" w:eastAsia="仿宋_GB2312" w:cs="仿宋_GB2312"/>
          <w:b w:val="0"/>
          <w:bCs w:val="0"/>
          <w:color w:val="auto"/>
          <w:spacing w:val="0"/>
          <w:sz w:val="32"/>
          <w:szCs w:val="32"/>
          <w:highlight w:val="none"/>
        </w:rPr>
        <w:t>持续加大学前教育学位供给保障力度，根据人口变化趋势和“5080”要求（“5080”即：公办幼儿园在园幼儿占比达50%以上，公办幼儿园和普惠性民办幼儿园在园幼儿占比达80%以上）。修订编制幼儿园建设规划进一步完善城区和农村幼儿园布局，根据人口分布和增长情况合理配置幼儿园。探索创新公办幼儿园管理体制，支持社会力量以多种形式举办普惠优质幼儿园，规范城镇小区配套幼儿园的建设、使用和管理，严格落实配套幼儿园与首期建设的居民住宅区同步规划、同步设计、同步建设、同步验收、同步交付使用政策要求。积极发展农村学前教育，常住人口达到一定规模的镇、行政村公办幼儿园学位进一步扩大，为适龄儿童就近接受普惠、安全、优质、便利学前教育提供多样化支持。到2025年，全市学前教育三年毛入园率达到99%。完善学前教育成本分担机制。建立教育、财政、发改（物价）等相关部门联动机制，根据办园成本、经济发展水平、群众承受能力等因素，合理确定公办园保教费标准并建立定期动态调节机制，确保各类幼儿园正常运作、持续健康发展。切实强化办园行为监管，严格准入制度，对未达到规范化标准的幼儿园，落实限期整改制度。提高幼儿园保教质量，支持和推进学前教育公办幼儿园集团化办学，开展省级“新课程”科学保教示范项目培育和“安吉游戏推广国家级实验区”试点工作。全面推进县域学前教育普及普惠督导评估工作。探索建立托幼服务一体化新模式，鼓励各地有条件的幼儿园利用现有资源开设托班，招收2至3岁的幼儿。鼓励各地在新建幼儿园时，按有关标准设置适当比例的2至3岁幼儿班。</w:t>
      </w:r>
    </w:p>
    <w:p>
      <w:pPr>
        <w:pStyle w:val="3"/>
        <w:pageBreakBefore w:val="0"/>
        <w:kinsoku/>
        <w:overflowPunct/>
        <w:topLinePunct w:val="0"/>
        <w:bidi w:val="0"/>
        <w:spacing w:before="289" w:after="289" w:line="520" w:lineRule="exact"/>
        <w:jc w:val="center"/>
        <w:rPr>
          <w:rFonts w:hint="eastAsia" w:ascii="黑体" w:hAnsi="黑体" w:eastAsia="黑体" w:cs="黑体"/>
          <w:color w:val="auto"/>
          <w:spacing w:val="0"/>
          <w:sz w:val="32"/>
          <w:szCs w:val="32"/>
          <w:highlight w:val="none"/>
        </w:rPr>
      </w:pPr>
      <w:bookmarkStart w:id="17" w:name="_Toc124060256"/>
      <w:r>
        <w:rPr>
          <w:rFonts w:hint="eastAsia" w:ascii="黑体" w:hAnsi="黑体" w:eastAsia="黑体" w:cs="黑体"/>
          <w:color w:val="auto"/>
          <w:spacing w:val="0"/>
          <w:sz w:val="32"/>
          <w:szCs w:val="32"/>
          <w:highlight w:val="none"/>
        </w:rPr>
        <w:t xml:space="preserve">第二节 </w:t>
      </w:r>
      <w:r>
        <w:rPr>
          <w:rFonts w:hint="eastAsia" w:ascii="黑体" w:hAnsi="黑体" w:cs="黑体"/>
          <w:color w:val="auto"/>
          <w:spacing w:val="0"/>
          <w:sz w:val="32"/>
          <w:szCs w:val="32"/>
          <w:highlight w:val="none"/>
          <w:lang w:val="en-US" w:eastAsia="zh-CN"/>
        </w:rPr>
        <w:t xml:space="preserve"> </w:t>
      </w:r>
      <w:r>
        <w:rPr>
          <w:rFonts w:hint="eastAsia" w:ascii="黑体" w:hAnsi="黑体" w:eastAsia="黑体" w:cs="黑体"/>
          <w:color w:val="auto"/>
          <w:spacing w:val="0"/>
          <w:sz w:val="32"/>
          <w:szCs w:val="32"/>
          <w:highlight w:val="none"/>
        </w:rPr>
        <w:t>提升城乡一体化水平，促进义务教育优质均衡发展</w:t>
      </w:r>
      <w:bookmarkEnd w:id="17"/>
    </w:p>
    <w:p>
      <w:pPr>
        <w:keepNext w:val="0"/>
        <w:keepLines w:val="0"/>
        <w:pageBreakBefore w:val="0"/>
        <w:kinsoku/>
        <w:overflowPunct/>
        <w:topLinePunct w:val="0"/>
        <w:autoSpaceDE/>
        <w:autoSpaceDN/>
        <w:bidi w:val="0"/>
        <w:adjustRightInd/>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1.提升义务教育办学水平，推进义务教育优质均衡发展。</w:t>
      </w:r>
    </w:p>
    <w:p>
      <w:pPr>
        <w:keepNext w:val="0"/>
        <w:keepLines w:val="0"/>
        <w:pageBreakBefore w:val="0"/>
        <w:kinsoku/>
        <w:overflowPunct/>
        <w:topLinePunct w:val="0"/>
        <w:autoSpaceDE/>
        <w:autoSpaceDN/>
        <w:bidi w:val="0"/>
        <w:adjustRightInd/>
        <w:spacing w:line="560" w:lineRule="exact"/>
        <w:ind w:firstLine="606" w:firstLineChars="200"/>
        <w:textAlignment w:val="auto"/>
        <w:rPr>
          <w:rFonts w:hint="eastAsia"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shd w:val="clear" w:color="auto" w:fill="FFFFFF"/>
        </w:rPr>
        <w:t>加大学位供给，优化教育资源配置，提升义务教育均衡发展和城乡一体化的工作成效</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shd w:val="clear" w:color="auto" w:fill="FFFFFF"/>
        </w:rPr>
        <w:t>保障全体适龄儿童</w:t>
      </w:r>
      <w:r>
        <w:rPr>
          <w:rFonts w:hint="eastAsia" w:ascii="仿宋_GB2312" w:hAnsi="仿宋_GB2312" w:eastAsia="仿宋_GB2312" w:cs="仿宋_GB2312"/>
          <w:color w:val="auto"/>
          <w:spacing w:val="0"/>
          <w:sz w:val="32"/>
          <w:szCs w:val="32"/>
          <w:highlight w:val="none"/>
          <w:shd w:val="clear" w:color="auto" w:fill="FFFFFF"/>
          <w:lang w:eastAsia="zh-CN"/>
        </w:rPr>
        <w:t>、青</w:t>
      </w:r>
      <w:r>
        <w:rPr>
          <w:rFonts w:hint="eastAsia" w:ascii="仿宋_GB2312" w:hAnsi="仿宋_GB2312" w:eastAsia="仿宋_GB2312" w:cs="仿宋_GB2312"/>
          <w:color w:val="auto"/>
          <w:spacing w:val="0"/>
          <w:sz w:val="32"/>
          <w:szCs w:val="32"/>
          <w:highlight w:val="none"/>
          <w:shd w:val="clear" w:color="auto" w:fill="FFFFFF"/>
        </w:rPr>
        <w:t>少年平等接受义务教育的机会和权利</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shd w:val="clear" w:color="auto" w:fill="FFFFFF"/>
        </w:rPr>
        <w:t>促进教育公平和社会和谐。</w:t>
      </w:r>
    </w:p>
    <w:p>
      <w:pPr>
        <w:keepNext w:val="0"/>
        <w:keepLines w:val="0"/>
        <w:pageBreakBefore w:val="0"/>
        <w:kinsoku/>
        <w:overflowPunct/>
        <w:topLinePunct w:val="0"/>
        <w:autoSpaceDE/>
        <w:autoSpaceDN/>
        <w:bidi w:val="0"/>
        <w:adjustRightInd/>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2.均衡配置教育资源，提升城乡义务教育一体化水平。</w:t>
      </w:r>
    </w:p>
    <w:p>
      <w:pPr>
        <w:keepNext w:val="0"/>
        <w:keepLines w:val="0"/>
        <w:pageBreakBefore w:val="0"/>
        <w:kinsoku/>
        <w:overflowPunct/>
        <w:topLinePunct w:val="0"/>
        <w:autoSpaceDE/>
        <w:autoSpaceDN/>
        <w:bidi w:val="0"/>
        <w:adjustRightInd/>
        <w:spacing w:line="560" w:lineRule="exact"/>
        <w:ind w:firstLine="606" w:firstLineChars="200"/>
        <w:textAlignment w:val="auto"/>
        <w:rPr>
          <w:rFonts w:ascii="仿宋_GB2312" w:hAnsi="仿宋_GB2312" w:eastAsia="仿宋_GB2312" w:cs="仿宋_GB2312"/>
          <w:color w:val="auto"/>
          <w:spacing w:val="0"/>
          <w:kern w:val="2"/>
          <w:sz w:val="32"/>
          <w:szCs w:val="32"/>
          <w:highlight w:val="none"/>
        </w:rPr>
      </w:pPr>
      <w:r>
        <w:rPr>
          <w:rFonts w:hint="eastAsia" w:ascii="仿宋_GB2312" w:hAnsi="仿宋_GB2312" w:eastAsia="仿宋_GB2312" w:cs="仿宋_GB2312"/>
          <w:color w:val="auto"/>
          <w:spacing w:val="0"/>
          <w:kern w:val="2"/>
          <w:sz w:val="32"/>
          <w:szCs w:val="32"/>
          <w:highlight w:val="none"/>
        </w:rPr>
        <w:t>保障和持续加大对乡村学校的投入，进一步完善乡村学校的基础设施，在硬件建设上严格按照《广东省义务教育标准化学校标准》和国家《农村普通中小学校建设标准》要求，补齐补足乡村学校办学条件短板，逐步完善和提高基本建设和装备配置水平，确保县域内义务教育学校建设标准统一、教职工编制标准统一、生均公用经费基准定额统一、基本装备配置标准统一和“两免一补”政策城乡全覆盖，继续推进县域内义务教育城乡一体化发展，</w:t>
      </w:r>
      <w:r>
        <w:rPr>
          <w:rFonts w:hint="eastAsia" w:ascii="仿宋_GB2312" w:hAnsi="仿宋_GB2312" w:eastAsia="仿宋_GB2312" w:cs="仿宋_GB2312"/>
          <w:color w:val="auto"/>
          <w:spacing w:val="0"/>
          <w:sz w:val="32"/>
          <w:szCs w:val="32"/>
          <w:highlight w:val="none"/>
          <w:shd w:val="clear" w:color="auto" w:fill="FFFFFF"/>
        </w:rPr>
        <w:t>进一步缩小县域内</w:t>
      </w:r>
      <w:r>
        <w:rPr>
          <w:rFonts w:hint="eastAsia" w:ascii="仿宋_GB2312" w:hAnsi="仿宋_GB2312" w:eastAsia="仿宋_GB2312" w:cs="仿宋_GB2312"/>
          <w:color w:val="auto"/>
          <w:spacing w:val="0"/>
          <w:kern w:val="2"/>
          <w:sz w:val="32"/>
          <w:szCs w:val="32"/>
          <w:highlight w:val="none"/>
        </w:rPr>
        <w:t>城乡之间</w:t>
      </w:r>
      <w:r>
        <w:rPr>
          <w:rFonts w:hint="eastAsia" w:ascii="仿宋_GB2312" w:hAnsi="仿宋_GB2312" w:eastAsia="仿宋_GB2312" w:cs="仿宋_GB2312"/>
          <w:color w:val="auto"/>
          <w:spacing w:val="0"/>
          <w:sz w:val="32"/>
          <w:szCs w:val="32"/>
          <w:highlight w:val="none"/>
          <w:shd w:val="clear" w:color="auto" w:fill="FFFFFF"/>
        </w:rPr>
        <w:t>义务教育发展水平差异，</w:t>
      </w:r>
      <w:r>
        <w:rPr>
          <w:rFonts w:hint="eastAsia" w:ascii="仿宋_GB2312" w:hAnsi="仿宋_GB2312" w:eastAsia="仿宋_GB2312" w:cs="仿宋_GB2312"/>
          <w:color w:val="auto"/>
          <w:spacing w:val="0"/>
          <w:kern w:val="2"/>
          <w:sz w:val="32"/>
          <w:szCs w:val="32"/>
          <w:highlight w:val="none"/>
        </w:rPr>
        <w:t>区域内学校之间教育质量、整体办学水平相对均衡，城乡基本公共教育服务均等化基本实现，推进县域内义务教育学校现代化建设，加速扩大优质教育资源覆盖面，大力提升乡村义务教育质量。</w:t>
      </w:r>
    </w:p>
    <w:p>
      <w:pPr>
        <w:pStyle w:val="11"/>
        <w:keepNext w:val="0"/>
        <w:keepLines w:val="0"/>
        <w:pageBreakBefore w:val="0"/>
        <w:widowControl/>
        <w:kinsoku/>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kern w:val="2"/>
          <w:sz w:val="32"/>
          <w:szCs w:val="32"/>
          <w:highlight w:val="none"/>
        </w:rPr>
        <w:t>3.优化城乡学校布局，科学设置义务教育学校。</w:t>
      </w:r>
    </w:p>
    <w:p>
      <w:pPr>
        <w:pStyle w:val="11"/>
        <w:keepNext w:val="0"/>
        <w:keepLines w:val="0"/>
        <w:pageBreakBefore w:val="0"/>
        <w:widowControl/>
        <w:kinsoku/>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优化学校布局。</w:t>
      </w:r>
      <w:r>
        <w:rPr>
          <w:rFonts w:hint="eastAsia" w:ascii="仿宋_GB2312" w:hAnsi="仿宋_GB2312" w:eastAsia="仿宋_GB2312" w:cs="仿宋_GB2312"/>
          <w:color w:val="auto"/>
          <w:spacing w:val="0"/>
          <w:sz w:val="32"/>
          <w:szCs w:val="32"/>
          <w:highlight w:val="none"/>
          <w:shd w:val="clear" w:color="auto" w:fill="FFFFFF"/>
        </w:rPr>
        <w:t>适应推进城镇化建设需要，科学调整中小学布局，在连州市城区新建扩建一批中小学校，增加义务教育学位</w:t>
      </w:r>
      <w:r>
        <w:rPr>
          <w:rFonts w:hint="eastAsia" w:ascii="仿宋_GB2312" w:hAnsi="仿宋_GB2312" w:eastAsia="仿宋_GB2312" w:cs="仿宋_GB2312"/>
          <w:color w:val="auto"/>
          <w:spacing w:val="0"/>
          <w:sz w:val="32"/>
          <w:szCs w:val="32"/>
          <w:highlight w:val="none"/>
          <w:shd w:val="clear" w:color="auto" w:fill="FFFFFF"/>
          <w:lang w:val="en-US" w:eastAsia="zh-CN"/>
        </w:rPr>
        <w:t>3</w:t>
      </w:r>
      <w:r>
        <w:rPr>
          <w:rFonts w:hint="eastAsia" w:ascii="仿宋_GB2312" w:hAnsi="仿宋_GB2312" w:eastAsia="仿宋_GB2312" w:cs="仿宋_GB2312"/>
          <w:color w:val="auto"/>
          <w:spacing w:val="0"/>
          <w:sz w:val="32"/>
          <w:szCs w:val="32"/>
          <w:highlight w:val="none"/>
          <w:shd w:val="clear" w:color="auto" w:fill="FFFFFF"/>
        </w:rPr>
        <w:t>000个以上，彻底解决市区适龄儿童入学难问题。改善农村义务教育寄宿制学校建设，结合连州市实施的校车服务，把距离远、条件差、学生少的农村教学点实行撤销或合并，引导这类学生到附近或寄宿制学校就读，同时按照方便学生上学、不增加学生家庭经济负担、保证教学质量的原则，合理规划学校服务半径，保留并办好必要的小规模学校和教学点，努力保障学生就近入学、接受有质量的教育。</w:t>
      </w:r>
    </w:p>
    <w:p>
      <w:pPr>
        <w:pStyle w:val="11"/>
        <w:keepNext w:val="0"/>
        <w:keepLines w:val="0"/>
        <w:pageBreakBefore w:val="0"/>
        <w:widowControl/>
        <w:kinsoku/>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4.加强教育管理，提高课堂教学质量。</w:t>
      </w:r>
    </w:p>
    <w:p>
      <w:pPr>
        <w:pStyle w:val="11"/>
        <w:keepNext w:val="0"/>
        <w:keepLines w:val="0"/>
        <w:pageBreakBefore w:val="0"/>
        <w:widowControl/>
        <w:shd w:val="clear" w:color="auto" w:fill="FFFFFF"/>
        <w:kinsoku/>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shd w:val="clear" w:color="auto" w:fill="FFFFFF"/>
        </w:rPr>
        <w:t>要注重形成学校教学管理特色，把立德树人融入思想道德教育、文化知识教育、社会实践教育各环节；健全教学管理规程，统筹制定教学计划，加强教材使用管理，优化教学环节；全面落实国家课程方案，开设丰富多彩的科学实验和综合实践类课程，推广和普及中学生生涯规划课程；坚持和完善集体备课制度，认真制定教案。优化课堂教学方式，坚持教学相长，注重启发式、互动式、探究式教学，落实学科核心素养，变讲授中心课堂为学习中心课堂，引导学生主动思考、自主探究，提升课堂教学水平；重视差异化教学和个别化指导。要加快推进信息技术与学科教学的融合，积极探索线上线下教学融合发展。各学校要建立符合本校实际的教学管理制度，定期开展自查、抽查。教育部门每学期要组织开展对辖区内义务教育学校的常规检查，积极利用信息化和大数据实施教学管理督查，促进教学管理水平的提升。</w:t>
      </w:r>
    </w:p>
    <w:p>
      <w:pPr>
        <w:pStyle w:val="11"/>
        <w:keepNext w:val="0"/>
        <w:keepLines w:val="0"/>
        <w:pageBreakBefore w:val="0"/>
        <w:widowControl/>
        <w:kinsoku/>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5.强化素质教育，提升学生的综合素质。</w:t>
      </w:r>
    </w:p>
    <w:p>
      <w:pPr>
        <w:pStyle w:val="11"/>
        <w:keepNext w:val="0"/>
        <w:keepLines w:val="0"/>
        <w:pageBreakBefore w:val="0"/>
        <w:widowControl/>
        <w:kinsoku/>
        <w:wordWrap w:val="0"/>
        <w:overflowPunct/>
        <w:topLinePunct w:val="0"/>
        <w:autoSpaceDE/>
        <w:autoSpaceDN/>
        <w:bidi w:val="0"/>
        <w:adjustRightInd/>
        <w:snapToGrid w:val="0"/>
        <w:spacing w:beforeAutospacing="0" w:afterAutospacing="0" w:line="560" w:lineRule="exact"/>
        <w:ind w:firstLine="606" w:firstLineChars="200"/>
        <w:jc w:val="both"/>
        <w:textAlignment w:val="auto"/>
        <w:rPr>
          <w:rStyle w:val="14"/>
          <w:rFonts w:ascii="仿宋_GB2312" w:hAnsi="仿宋_GB2312" w:eastAsia="仿宋_GB2312" w:cs="仿宋_GB2312"/>
          <w:b w:val="0"/>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rPr>
        <w:t>落实中小学生减负工作，深入实施素质教育。</w:t>
      </w:r>
      <w:r>
        <w:rPr>
          <w:rFonts w:hint="eastAsia" w:ascii="仿宋_GB2312" w:hAnsi="仿宋_GB2312" w:eastAsia="仿宋_GB2312" w:cs="仿宋_GB2312"/>
          <w:color w:val="auto"/>
          <w:spacing w:val="0"/>
          <w:sz w:val="32"/>
          <w:szCs w:val="32"/>
          <w:highlight w:val="none"/>
          <w:shd w:val="clear" w:color="auto" w:fill="FFFFFF"/>
        </w:rPr>
        <w:t>充分认识“减负”工作的重要性和必要性，</w:t>
      </w:r>
      <w:r>
        <w:rPr>
          <w:rFonts w:hint="eastAsia" w:ascii="仿宋_GB2312" w:hAnsi="仿宋_GB2312" w:eastAsia="仿宋_GB2312" w:cs="仿宋_GB2312"/>
          <w:color w:val="auto"/>
          <w:spacing w:val="0"/>
          <w:sz w:val="32"/>
          <w:szCs w:val="32"/>
          <w:highlight w:val="none"/>
        </w:rPr>
        <w:t>切实减轻中小学生非必要的课业负担，促进中小学生健康</w:t>
      </w:r>
      <w:r>
        <w:rPr>
          <w:rFonts w:hint="eastAsia" w:ascii="仿宋_GB2312" w:hAnsi="仿宋_GB2312" w:eastAsia="仿宋_GB2312" w:cs="仿宋_GB2312"/>
          <w:color w:val="auto"/>
          <w:spacing w:val="0"/>
          <w:sz w:val="32"/>
          <w:szCs w:val="32"/>
          <w:highlight w:val="none"/>
          <w:shd w:val="clear" w:color="auto" w:fill="FFFFFF"/>
        </w:rPr>
        <w:t>成长。认真查实学生课业负担过重的现象，严格控制学生的作业量，给学生提供自主整理、巩固知识的充裕时间，减少无谓的时间浪费。严格执行课程方案，规范教学行为，严格督促教师自觉按课表上课，杜绝私自停课、占课、挪用活动类课程的现象，确保学生每天1小时的体育锻炼时间并保证质量。利用学校教育资源，如实验室、图书阅览室、微机室、多媒体室、美术室、音乐室等广泛开展科技、文体、艺术、班队活动和社会实践活动，丰富学生的学习生活，锻炼和发展学生的能力，让学生轻松愉快地学习，主动和谐地发展。加强宣传党的教育方针和政策，宣传正确的教育思想和方法，指导家长树立正确的教育观、人才观，把家长“望子成龙”的迫切愿望和学生学习的积极性引导到正确的轨道上来，营造全社会关心、理解、支持减负工作的社会环境。全方位减轻学生过重的课业负担。</w:t>
      </w:r>
    </w:p>
    <w:p>
      <w:pPr>
        <w:pStyle w:val="11"/>
        <w:keepNext w:val="0"/>
        <w:keepLines w:val="0"/>
        <w:pageBreakBefore w:val="0"/>
        <w:widowControl/>
        <w:kinsoku/>
        <w:wordWrap w:val="0"/>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Style w:val="14"/>
          <w:rFonts w:hint="eastAsia" w:ascii="仿宋_GB2312" w:hAnsi="仿宋_GB2312" w:eastAsia="仿宋_GB2312" w:cs="仿宋_GB2312"/>
          <w:color w:val="auto"/>
          <w:spacing w:val="0"/>
          <w:sz w:val="32"/>
          <w:szCs w:val="32"/>
          <w:highlight w:val="none"/>
          <w:shd w:val="clear" w:color="auto" w:fill="FFFFFF"/>
        </w:rPr>
        <w:t>加强学校体育工作。</w:t>
      </w:r>
      <w:r>
        <w:rPr>
          <w:rFonts w:hint="eastAsia" w:ascii="仿宋_GB2312" w:hAnsi="仿宋_GB2312" w:eastAsia="仿宋_GB2312" w:cs="仿宋_GB2312"/>
          <w:color w:val="auto"/>
          <w:spacing w:val="0"/>
          <w:sz w:val="32"/>
          <w:szCs w:val="32"/>
          <w:highlight w:val="none"/>
          <w:shd w:val="clear" w:color="auto" w:fill="FFFFFF"/>
        </w:rPr>
        <w:t>树立健康第一的教育理念，加强体育教育，开齐开足开好体育课，帮助学生在体育锻炼中增强体质、享受乐趣、健全人格、锤炼意志。持续深入实施“学生健康促进工程”，强化学生1小时校园体育锻炼活动。强化校园足球</w:t>
      </w:r>
      <w:r>
        <w:rPr>
          <w:rFonts w:hint="eastAsia" w:ascii="仿宋_GB2312" w:hAnsi="仿宋_GB2312" w:eastAsia="仿宋_GB2312" w:cs="仿宋_GB2312"/>
          <w:color w:val="auto"/>
          <w:spacing w:val="0"/>
          <w:sz w:val="32"/>
          <w:szCs w:val="32"/>
          <w:highlight w:val="none"/>
          <w:shd w:val="clear" w:color="auto" w:fill="FFFFFF"/>
          <w:lang w:eastAsia="zh-CN"/>
        </w:rPr>
        <w:t>教育工作</w:t>
      </w:r>
      <w:r>
        <w:rPr>
          <w:rFonts w:hint="eastAsia" w:ascii="仿宋_GB2312" w:hAnsi="仿宋_GB2312" w:eastAsia="仿宋_GB2312" w:cs="仿宋_GB2312"/>
          <w:color w:val="auto"/>
          <w:spacing w:val="0"/>
          <w:sz w:val="32"/>
          <w:szCs w:val="32"/>
          <w:highlight w:val="none"/>
          <w:shd w:val="clear" w:color="auto" w:fill="FFFFFF"/>
        </w:rPr>
        <w:t>，加快普及学生游泳教育，着力培养学生体育运动技能和特长。以各类竞技性比赛为驱动，组织举办连州市体育特色项目竞赛，培育连州体育特色。</w:t>
      </w:r>
    </w:p>
    <w:p>
      <w:pPr>
        <w:pStyle w:val="11"/>
        <w:keepNext w:val="0"/>
        <w:keepLines w:val="0"/>
        <w:pageBreakBefore w:val="0"/>
        <w:widowControl/>
        <w:kinsoku/>
        <w:wordWrap w:val="0"/>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Style w:val="14"/>
          <w:rFonts w:hint="eastAsia" w:ascii="仿宋_GB2312" w:hAnsi="仿宋_GB2312" w:eastAsia="仿宋_GB2312" w:cs="仿宋_GB2312"/>
          <w:color w:val="auto"/>
          <w:spacing w:val="0"/>
          <w:sz w:val="32"/>
          <w:szCs w:val="32"/>
          <w:highlight w:val="none"/>
          <w:shd w:val="clear" w:color="auto" w:fill="FFFFFF"/>
        </w:rPr>
        <w:t>加强学校美育工作。</w:t>
      </w:r>
      <w:r>
        <w:rPr>
          <w:rFonts w:hint="eastAsia" w:ascii="仿宋_GB2312" w:hAnsi="仿宋_GB2312" w:eastAsia="仿宋_GB2312" w:cs="仿宋_GB2312"/>
          <w:color w:val="auto"/>
          <w:spacing w:val="0"/>
          <w:sz w:val="32"/>
          <w:szCs w:val="32"/>
          <w:highlight w:val="none"/>
          <w:shd w:val="clear" w:color="auto" w:fill="FFFFFF"/>
        </w:rPr>
        <w:t>要注重美育教育，坚持以美育人、以文化人，切实提高学生审美和人文修养。认真落实相关要求，开齐开足音乐美术等艺术课程。推进高雅艺术进校园，推进“一校一品”“一校多品”。组织开展全市中小学生美育节活动。鼓励有条件的学校，开发非遗项目、机器人、武术、书法等校本学习资源，助力学生全面发展。</w:t>
      </w:r>
    </w:p>
    <w:p>
      <w:pPr>
        <w:pStyle w:val="11"/>
        <w:keepNext w:val="0"/>
        <w:keepLines w:val="0"/>
        <w:pageBreakBefore w:val="0"/>
        <w:widowControl/>
        <w:kinsoku/>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color w:val="auto"/>
          <w:spacing w:val="0"/>
          <w:sz w:val="32"/>
          <w:szCs w:val="32"/>
          <w:highlight w:val="none"/>
          <w:shd w:val="clear" w:color="auto" w:fill="FFFFFF"/>
        </w:rPr>
      </w:pPr>
      <w:r>
        <w:rPr>
          <w:rStyle w:val="14"/>
          <w:rFonts w:hint="eastAsia" w:ascii="仿宋_GB2312" w:hAnsi="仿宋_GB2312" w:eastAsia="仿宋_GB2312" w:cs="仿宋_GB2312"/>
          <w:color w:val="auto"/>
          <w:spacing w:val="0"/>
          <w:sz w:val="32"/>
          <w:szCs w:val="32"/>
          <w:highlight w:val="none"/>
          <w:shd w:val="clear" w:color="auto" w:fill="FFFFFF"/>
        </w:rPr>
        <w:t>加强劳动教育。</w:t>
      </w:r>
      <w:r>
        <w:rPr>
          <w:rFonts w:hint="eastAsia" w:ascii="仿宋_GB2312" w:hAnsi="仿宋_GB2312" w:eastAsia="仿宋_GB2312" w:cs="仿宋_GB2312"/>
          <w:color w:val="auto"/>
          <w:spacing w:val="0"/>
          <w:sz w:val="32"/>
          <w:szCs w:val="32"/>
          <w:highlight w:val="none"/>
          <w:shd w:val="clear" w:color="auto" w:fill="FFFFFF"/>
        </w:rPr>
        <w:t>深入推动义务教育阶段劳动教育课程改革，开展劳动技术教育，注重对劳动情感、劳动态度、劳动观念的培养。组织开展劳动教育主题活动和校内劳动。坚持教育教学与生产劳动、社区服务和社会实践相结合，增强学生劳动实践、学科实验和技能实训的成效。构建家庭、学校、社会相衔接的劳动育人机制，针对不同年级的学生，探索符合其身心特点和规律的教育内容。积极稳妥地开展中小学生研学实践，提升学生的自</w:t>
      </w:r>
      <w:r>
        <w:rPr>
          <w:rFonts w:hint="eastAsia" w:ascii="仿宋_GB2312" w:hAnsi="仿宋_GB2312" w:eastAsia="仿宋_GB2312" w:cs="仿宋_GB2312"/>
          <w:color w:val="auto"/>
          <w:spacing w:val="0"/>
          <w:sz w:val="32"/>
          <w:szCs w:val="32"/>
          <w:highlight w:val="none"/>
          <w:shd w:val="clear" w:color="auto" w:fill="FFFFFF"/>
          <w:lang w:eastAsia="zh-CN"/>
        </w:rPr>
        <w:t>主</w:t>
      </w:r>
      <w:r>
        <w:rPr>
          <w:rFonts w:hint="eastAsia" w:ascii="仿宋_GB2312" w:hAnsi="仿宋_GB2312" w:eastAsia="仿宋_GB2312" w:cs="仿宋_GB2312"/>
          <w:color w:val="auto"/>
          <w:spacing w:val="0"/>
          <w:sz w:val="32"/>
          <w:szCs w:val="32"/>
          <w:highlight w:val="none"/>
          <w:shd w:val="clear" w:color="auto" w:fill="FFFFFF"/>
        </w:rPr>
        <w:t>能力、创新精神和实践能力。</w:t>
      </w:r>
    </w:p>
    <w:p>
      <w:pPr>
        <w:pStyle w:val="11"/>
        <w:keepNext w:val="0"/>
        <w:keepLines w:val="0"/>
        <w:pageBreakBefore w:val="0"/>
        <w:widowControl/>
        <w:kinsoku/>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6.推动教育集团化，促进各类教育优质均衡发展。</w:t>
      </w:r>
    </w:p>
    <w:p>
      <w:pPr>
        <w:keepNext w:val="0"/>
        <w:keepLines w:val="0"/>
        <w:pageBreakBefore w:val="0"/>
        <w:kinsoku/>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探索学区化、联盟化、集团化办学改革新模式，积极引进有影响力的优质名校，</w:t>
      </w:r>
      <w:r>
        <w:rPr>
          <w:rFonts w:hint="eastAsia" w:ascii="仿宋_GB2312" w:hAnsi="仿宋_GB2312" w:eastAsia="仿宋_GB2312" w:cs="仿宋_GB2312"/>
          <w:color w:val="auto"/>
          <w:spacing w:val="0"/>
          <w:sz w:val="32"/>
          <w:szCs w:val="32"/>
          <w:highlight w:val="none"/>
          <w:shd w:val="clear" w:color="auto" w:fill="FFFFFF"/>
        </w:rPr>
        <w:t>以优质基础教育资源共建共享为核心，</w:t>
      </w:r>
      <w:r>
        <w:rPr>
          <w:rFonts w:hint="eastAsia" w:ascii="仿宋_GB2312" w:hAnsi="仿宋_GB2312" w:eastAsia="仿宋_GB2312" w:cs="仿宋_GB2312"/>
          <w:color w:val="auto"/>
          <w:spacing w:val="0"/>
          <w:sz w:val="32"/>
          <w:szCs w:val="32"/>
          <w:highlight w:val="none"/>
        </w:rPr>
        <w:t>积极尝试利用广清协作组建教育发展共同体，争取广州品牌学校与连州学校组团办学，通过优质教育资源学校的办学理念辐射、骨干教师柔性流动、教育教学资源共享、设施设备场地共用、学校文化生成等策略，打破校际壁垒，缩小校际差距，全面激发</w:t>
      </w:r>
      <w:r>
        <w:rPr>
          <w:rFonts w:hint="eastAsia" w:ascii="仿宋_GB2312" w:hAnsi="仿宋_GB2312" w:eastAsia="仿宋_GB2312" w:cs="仿宋_GB2312"/>
          <w:color w:val="auto"/>
          <w:spacing w:val="0"/>
          <w:sz w:val="32"/>
          <w:szCs w:val="32"/>
          <w:highlight w:val="none"/>
          <w:lang w:val="en-US" w:eastAsia="zh-CN"/>
        </w:rPr>
        <w:t>各类</w:t>
      </w:r>
      <w:r>
        <w:rPr>
          <w:rFonts w:hint="eastAsia" w:ascii="仿宋_GB2312" w:hAnsi="仿宋_GB2312" w:eastAsia="仿宋_GB2312" w:cs="仿宋_GB2312"/>
          <w:color w:val="auto"/>
          <w:spacing w:val="0"/>
          <w:sz w:val="32"/>
          <w:szCs w:val="32"/>
          <w:highlight w:val="none"/>
        </w:rPr>
        <w:t>教育学校发展活力；</w:t>
      </w:r>
      <w:r>
        <w:rPr>
          <w:rFonts w:hint="eastAsia" w:ascii="仿宋_GB2312" w:hAnsi="仿宋_GB2312" w:eastAsia="仿宋_GB2312" w:cs="仿宋_GB2312"/>
          <w:color w:val="auto"/>
          <w:spacing w:val="0"/>
          <w:sz w:val="32"/>
          <w:szCs w:val="32"/>
          <w:highlight w:val="none"/>
          <w:shd w:val="clear" w:color="auto" w:fill="FFFFFF"/>
        </w:rPr>
        <w:t>通过充分发挥名校的示范、辐射和带动作用，</w:t>
      </w:r>
      <w:r>
        <w:rPr>
          <w:rFonts w:hint="eastAsia" w:ascii="仿宋_GB2312" w:hAnsi="仿宋_GB2312" w:eastAsia="仿宋_GB2312" w:cs="仿宋_GB2312"/>
          <w:color w:val="auto"/>
          <w:spacing w:val="0"/>
          <w:sz w:val="32"/>
          <w:szCs w:val="32"/>
          <w:highlight w:val="none"/>
        </w:rPr>
        <w:t>实现多校协同抱团发展，逐步形成特色办学优势，强化学校内涵建设，提升基础教育品质，促进</w:t>
      </w:r>
      <w:r>
        <w:rPr>
          <w:rFonts w:hint="eastAsia" w:ascii="仿宋_GB2312" w:hAnsi="仿宋_GB2312" w:eastAsia="仿宋_GB2312" w:cs="仿宋_GB2312"/>
          <w:color w:val="auto"/>
          <w:spacing w:val="0"/>
          <w:sz w:val="32"/>
          <w:szCs w:val="32"/>
          <w:highlight w:val="none"/>
          <w:lang w:val="en-US" w:eastAsia="zh-CN"/>
        </w:rPr>
        <w:t>各类</w:t>
      </w:r>
      <w:r>
        <w:rPr>
          <w:rFonts w:hint="eastAsia" w:ascii="仿宋_GB2312" w:hAnsi="仿宋_GB2312" w:eastAsia="仿宋_GB2312" w:cs="仿宋_GB2312"/>
          <w:color w:val="auto"/>
          <w:spacing w:val="0"/>
          <w:sz w:val="32"/>
          <w:szCs w:val="32"/>
          <w:highlight w:val="none"/>
        </w:rPr>
        <w:t>教育</w:t>
      </w:r>
      <w:r>
        <w:rPr>
          <w:rFonts w:hint="eastAsia" w:ascii="仿宋_GB2312" w:hAnsi="仿宋_GB2312" w:eastAsia="仿宋_GB2312" w:cs="仿宋_GB2312"/>
          <w:color w:val="auto"/>
          <w:spacing w:val="0"/>
          <w:sz w:val="32"/>
          <w:szCs w:val="32"/>
          <w:highlight w:val="none"/>
          <w:lang w:val="en-US" w:eastAsia="zh-CN"/>
        </w:rPr>
        <w:t>优质</w:t>
      </w:r>
      <w:r>
        <w:rPr>
          <w:rFonts w:hint="eastAsia" w:ascii="仿宋_GB2312" w:hAnsi="仿宋_GB2312" w:eastAsia="仿宋_GB2312" w:cs="仿宋_GB2312"/>
          <w:color w:val="auto"/>
          <w:spacing w:val="0"/>
          <w:sz w:val="32"/>
          <w:szCs w:val="32"/>
          <w:highlight w:val="none"/>
        </w:rPr>
        <w:t>均衡化发展。</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18" w:name="_Toc124060257"/>
      <w:r>
        <w:rPr>
          <w:rFonts w:hint="eastAsia" w:ascii="黑体" w:hAnsi="黑体" w:eastAsia="黑体" w:cs="黑体"/>
          <w:color w:val="auto"/>
          <w:spacing w:val="0"/>
          <w:sz w:val="32"/>
          <w:szCs w:val="32"/>
          <w:highlight w:val="none"/>
        </w:rPr>
        <w:t>第三节  重特色强质量，全面提升普通高中教育水平</w:t>
      </w:r>
      <w:bookmarkEnd w:id="18"/>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1.实施普通高中办学水平提升计划，改善高中办学条件。</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落实《广东省推进普通高中全面提升行动方案》，进一步加强办学条件，积极开展普通高中育人方式改革，完善适应新高考改革的教学管理模式，深入推进学校课堂教学改革，稳步提升教育教学质量，全面提升普通高中办学水平，确保全市高中阶段教育毛入学率巩固在95%以上并得到进一步提升。充分利用广清对口帮扶契机，带动我市普通高中办学水平的整体提升。加强连州中学、</w:t>
      </w:r>
      <w:r>
        <w:rPr>
          <w:rFonts w:hint="eastAsia" w:ascii="仿宋_GB2312" w:hAnsi="仿宋_GB2312" w:eastAsia="仿宋_GB2312" w:cs="仿宋_GB2312"/>
          <w:color w:val="auto"/>
          <w:spacing w:val="0"/>
          <w:sz w:val="32"/>
          <w:szCs w:val="32"/>
          <w:highlight w:val="none"/>
          <w:lang w:eastAsia="zh-CN"/>
        </w:rPr>
        <w:t>连州市第二中学</w:t>
      </w:r>
      <w:r>
        <w:rPr>
          <w:rFonts w:hint="eastAsia" w:ascii="仿宋_GB2312" w:hAnsi="仿宋_GB2312" w:eastAsia="仿宋_GB2312" w:cs="仿宋_GB2312"/>
          <w:color w:val="auto"/>
          <w:spacing w:val="0"/>
          <w:sz w:val="32"/>
          <w:szCs w:val="32"/>
          <w:highlight w:val="none"/>
        </w:rPr>
        <w:t>等校园硬件建设，改扩建校舍和附属设施，配齐必要的教育教学仪器设备，科学合理地利用好现有资源，确保满足普通高中课程改革的需求。连州中学新建学生宿舍一栋，新增床位900个；升级学校饭堂食品安全等级，完善课堂教学设备设施、实验仪器及药品，新增、添置图书。</w:t>
      </w:r>
      <w:r>
        <w:rPr>
          <w:rFonts w:hint="eastAsia" w:ascii="仿宋_GB2312" w:hAnsi="仿宋_GB2312" w:eastAsia="仿宋_GB2312" w:cs="仿宋_GB2312"/>
          <w:color w:val="auto"/>
          <w:spacing w:val="0"/>
          <w:sz w:val="32"/>
          <w:szCs w:val="32"/>
          <w:highlight w:val="none"/>
          <w:lang w:eastAsia="zh-CN"/>
        </w:rPr>
        <w:t>连州市第二中学</w:t>
      </w:r>
      <w:r>
        <w:rPr>
          <w:rFonts w:hint="eastAsia" w:ascii="仿宋_GB2312" w:hAnsi="仿宋_GB2312" w:eastAsia="仿宋_GB2312" w:cs="仿宋_GB2312"/>
          <w:color w:val="auto"/>
          <w:spacing w:val="0"/>
          <w:sz w:val="32"/>
          <w:szCs w:val="32"/>
          <w:highlight w:val="none"/>
        </w:rPr>
        <w:t>按照广东省一级学校建设标准，新建学生宿舍一栋，新增床位1500个；新建学生</w:t>
      </w:r>
      <w:r>
        <w:rPr>
          <w:rFonts w:hint="eastAsia" w:ascii="仿宋_GB2312" w:hAnsi="仿宋_GB2312" w:eastAsia="仿宋_GB2312" w:cs="仿宋_GB2312"/>
          <w:color w:val="auto"/>
          <w:spacing w:val="0"/>
          <w:sz w:val="32"/>
          <w:szCs w:val="32"/>
          <w:highlight w:val="none"/>
          <w:lang w:eastAsia="zh-CN"/>
        </w:rPr>
        <w:t>食</w:t>
      </w:r>
      <w:r>
        <w:rPr>
          <w:rFonts w:hint="eastAsia" w:ascii="仿宋_GB2312" w:hAnsi="仿宋_GB2312" w:eastAsia="仿宋_GB2312" w:cs="仿宋_GB2312"/>
          <w:color w:val="auto"/>
          <w:spacing w:val="0"/>
          <w:sz w:val="32"/>
          <w:szCs w:val="32"/>
          <w:highlight w:val="none"/>
        </w:rPr>
        <w:t>堂一栋，新建地理园、生物园，添置教学仪器设备。</w:t>
      </w:r>
    </w:p>
    <w:p>
      <w:pPr>
        <w:keepNext w:val="0"/>
        <w:keepLines w:val="0"/>
        <w:pageBreakBefore w:val="0"/>
        <w:kinsoku/>
        <w:wordWrap/>
        <w:overflowPunct/>
        <w:topLinePunct w:val="0"/>
        <w:autoSpaceDE/>
        <w:autoSpaceDN/>
        <w:bidi w:val="0"/>
        <w:adjustRightInd/>
        <w:spacing w:line="560" w:lineRule="exact"/>
        <w:ind w:firstLine="606" w:firstLineChars="200"/>
        <w:jc w:val="left"/>
        <w:textAlignment w:val="auto"/>
        <w:rPr>
          <w:rFonts w:hint="eastAsia" w:ascii="仿宋_GB2312" w:hAnsi="仿宋_GB2312" w:eastAsia="仿宋_GB2312" w:cs="仿宋_GB2312"/>
          <w:color w:val="auto"/>
          <w:spacing w:val="0"/>
          <w:sz w:val="32"/>
          <w:szCs w:val="32"/>
          <w:highlight w:val="none"/>
          <w:lang w:eastAsia="zh-CN"/>
        </w:rPr>
      </w:pPr>
      <w:r>
        <w:rPr>
          <w:rFonts w:hint="eastAsia" w:ascii="仿宋_GB2312" w:hAnsi="仿宋_GB2312" w:eastAsia="仿宋_GB2312" w:cs="仿宋_GB2312"/>
          <w:color w:val="auto"/>
          <w:spacing w:val="0"/>
          <w:sz w:val="32"/>
          <w:szCs w:val="32"/>
          <w:highlight w:val="none"/>
        </w:rPr>
        <w:t>根据连州市的人口发展预测，在“十四五”规划后期，我市高中阶段教育生源将有较大的增长，要根据实际生源增长和普职比的情况，按需要对普通高中的学位建设进行规划</w:t>
      </w:r>
      <w:r>
        <w:rPr>
          <w:rFonts w:hint="eastAsia" w:ascii="仿宋_GB2312" w:hAnsi="仿宋_GB2312" w:eastAsia="仿宋_GB2312" w:cs="仿宋_GB2312"/>
          <w:color w:val="auto"/>
          <w:spacing w:val="0"/>
          <w:sz w:val="32"/>
          <w:szCs w:val="32"/>
          <w:highlight w:val="none"/>
          <w:lang w:eastAsia="zh-CN"/>
        </w:rPr>
        <w:t>。</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hint="eastAsia" w:ascii="仿宋_GB2312" w:hAnsi="仿宋_GB2312" w:eastAsia="仿宋_GB2312" w:cs="仿宋_GB2312"/>
          <w:b/>
          <w:bCs/>
          <w:color w:val="auto"/>
          <w:spacing w:val="0"/>
          <w:kern w:val="2"/>
          <w:sz w:val="32"/>
          <w:szCs w:val="32"/>
          <w:highlight w:val="none"/>
          <w:lang w:eastAsia="zh-CN"/>
        </w:rPr>
      </w:pPr>
      <w:r>
        <w:rPr>
          <w:rFonts w:hint="eastAsia" w:ascii="仿宋_GB2312" w:hAnsi="仿宋_GB2312" w:eastAsia="仿宋_GB2312" w:cs="仿宋_GB2312"/>
          <w:b/>
          <w:bCs/>
          <w:color w:val="auto"/>
          <w:spacing w:val="0"/>
          <w:kern w:val="2"/>
          <w:sz w:val="32"/>
          <w:szCs w:val="32"/>
          <w:highlight w:val="none"/>
        </w:rPr>
        <w:t>2.积极改革育人方式，稳步提升教育教学质量</w:t>
      </w:r>
      <w:r>
        <w:rPr>
          <w:rFonts w:hint="eastAsia" w:ascii="仿宋_GB2312" w:hAnsi="仿宋_GB2312" w:eastAsia="仿宋_GB2312" w:cs="仿宋_GB2312"/>
          <w:b/>
          <w:bCs/>
          <w:color w:val="auto"/>
          <w:spacing w:val="0"/>
          <w:kern w:val="2"/>
          <w:sz w:val="32"/>
          <w:szCs w:val="32"/>
          <w:highlight w:val="none"/>
          <w:lang w:eastAsia="zh-CN"/>
        </w:rPr>
        <w:t>。</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rPr>
        <w:t>深化普通高中教育教学改革，切实提高育人水平，为学生适应社会生活、接受高等教育和未来职业发展打好基础。</w:t>
      </w:r>
      <w:r>
        <w:rPr>
          <w:rFonts w:hint="eastAsia" w:ascii="仿宋_GB2312" w:hAnsi="仿宋_GB2312" w:eastAsia="仿宋_GB2312" w:cs="仿宋_GB2312"/>
          <w:color w:val="auto"/>
          <w:spacing w:val="0"/>
          <w:sz w:val="32"/>
          <w:szCs w:val="32"/>
          <w:highlight w:val="none"/>
          <w:shd w:val="clear" w:color="auto" w:fill="FFFFFF"/>
        </w:rPr>
        <w:t>积极开展新高考形势下高中教学管理模式研究，</w:t>
      </w:r>
      <w:r>
        <w:rPr>
          <w:rFonts w:hint="eastAsia" w:ascii="仿宋_GB2312" w:hAnsi="仿宋_GB2312" w:eastAsia="仿宋_GB2312" w:cs="仿宋_GB2312"/>
          <w:color w:val="auto"/>
          <w:spacing w:val="0"/>
          <w:sz w:val="32"/>
          <w:szCs w:val="32"/>
          <w:highlight w:val="none"/>
        </w:rPr>
        <w:t>围绕落实普通高中课程方案和课程标准，进一步深化课程改革，</w:t>
      </w:r>
      <w:r>
        <w:rPr>
          <w:rFonts w:hint="eastAsia" w:ascii="仿宋_GB2312" w:hAnsi="仿宋_GB2312" w:eastAsia="仿宋_GB2312" w:cs="仿宋_GB2312"/>
          <w:color w:val="auto"/>
          <w:spacing w:val="0"/>
          <w:sz w:val="32"/>
          <w:szCs w:val="32"/>
          <w:highlight w:val="none"/>
          <w:shd w:val="clear" w:color="auto" w:fill="FFFFFF"/>
        </w:rPr>
        <w:t>探索推进分类分层教学，积极稳妥开展选课走班，完善高中各学科教育教学与新高考的全面对接并轨</w:t>
      </w:r>
      <w:r>
        <w:rPr>
          <w:rFonts w:hint="eastAsia" w:ascii="仿宋_GB2312" w:hAnsi="仿宋_GB2312" w:eastAsia="仿宋_GB2312" w:cs="仿宋_GB2312"/>
          <w:color w:val="auto"/>
          <w:spacing w:val="0"/>
          <w:sz w:val="32"/>
          <w:szCs w:val="32"/>
          <w:highlight w:val="none"/>
        </w:rPr>
        <w:t>；在开齐开足国家课程的基础上适当设置选修课程比例，积极建设具有地方特色的课程和校本课程，构建特色鲜明、丰富多样的课程体系，提高课程的选择性和适宜性</w:t>
      </w:r>
      <w:r>
        <w:rPr>
          <w:rFonts w:hint="eastAsia" w:ascii="仿宋_GB2312" w:hAnsi="仿宋_GB2312" w:eastAsia="仿宋_GB2312" w:cs="仿宋_GB2312"/>
          <w:color w:val="auto"/>
          <w:spacing w:val="0"/>
          <w:sz w:val="32"/>
          <w:szCs w:val="32"/>
          <w:highlight w:val="none"/>
          <w:shd w:val="clear" w:color="auto" w:fill="FFFFFF"/>
        </w:rPr>
        <w:t>。</w:t>
      </w:r>
      <w:r>
        <w:rPr>
          <w:rFonts w:hint="eastAsia" w:ascii="仿宋_GB2312" w:hAnsi="仿宋_GB2312" w:eastAsia="仿宋_GB2312" w:cs="仿宋_GB2312"/>
          <w:color w:val="auto"/>
          <w:spacing w:val="0"/>
          <w:sz w:val="32"/>
          <w:szCs w:val="32"/>
          <w:highlight w:val="none"/>
        </w:rPr>
        <w:t>创新育人模式，建立完善以学生发展为本的新型教学关系，关注学生学习过程，促进教与学方式的转变。</w:t>
      </w:r>
      <w:r>
        <w:rPr>
          <w:rFonts w:hint="eastAsia" w:ascii="仿宋_GB2312" w:hAnsi="仿宋_GB2312" w:eastAsia="仿宋_GB2312" w:cs="仿宋_GB2312"/>
          <w:color w:val="auto"/>
          <w:spacing w:val="0"/>
          <w:sz w:val="32"/>
          <w:szCs w:val="32"/>
          <w:highlight w:val="none"/>
          <w:shd w:val="clear" w:color="auto" w:fill="FFFFFF"/>
        </w:rPr>
        <w:t>加强对普通高中学生发展指导工作，提高学生的自我认知，开展多种形式的生涯规划指导，对学生课程选修和专业报考进行必要的指导，帮助学生选择适合的发展方向。</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3.加强高中教师队伍建设，提升高中教学水平。</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提高教师课程执行力和教育教学能力，围绕提升新高考背景下教师选课走班组织管理和教学水平、学生发展指导能力、综合素质培养能力等开展全员培训，开展基于学科核心素养与学业质量标准的教学研究，积极培育、大力推广优秀教学成果，将生涯教育理念渗透到各门学科，加强选课指导，引导学生把国家需要、高校招生要求、高中学校办学条件及特色优势与自身兴趣爱好、学业能力有机结合，理性确定选考科目，合理制定修习方案。要拓</w:t>
      </w:r>
      <w:r>
        <w:rPr>
          <w:rFonts w:hint="eastAsia" w:ascii="仿宋_GB2312" w:hAnsi="仿宋_GB2312" w:eastAsia="仿宋_GB2312" w:cs="仿宋_GB2312"/>
          <w:color w:val="auto"/>
          <w:spacing w:val="0"/>
          <w:sz w:val="32"/>
          <w:szCs w:val="32"/>
          <w:highlight w:val="none"/>
          <w:lang w:eastAsia="zh-CN"/>
        </w:rPr>
        <w:t>宽</w:t>
      </w:r>
      <w:r>
        <w:rPr>
          <w:rFonts w:hint="eastAsia" w:ascii="仿宋_GB2312" w:hAnsi="仿宋_GB2312" w:eastAsia="仿宋_GB2312" w:cs="仿宋_GB2312"/>
          <w:color w:val="auto"/>
          <w:spacing w:val="0"/>
          <w:sz w:val="32"/>
          <w:szCs w:val="32"/>
          <w:highlight w:val="none"/>
        </w:rPr>
        <w:t>教师的教育视野，提升对外教育交流能力和信息化应用能力，提升校长办学治校、推进课改教改的能力，培养双（多）学科型的专任教师，打造一支适应普通高中改革发展的高素质教师队伍。</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4.坚持特色</w:t>
      </w:r>
      <w:r>
        <w:rPr>
          <w:rStyle w:val="14"/>
          <w:rFonts w:hint="eastAsia" w:ascii="仿宋_GB2312" w:hAnsi="仿宋_GB2312" w:eastAsia="仿宋_GB2312" w:cs="仿宋_GB2312"/>
          <w:bCs/>
          <w:color w:val="auto"/>
          <w:spacing w:val="0"/>
          <w:sz w:val="32"/>
          <w:szCs w:val="32"/>
          <w:highlight w:val="none"/>
          <w:shd w:val="clear" w:color="auto" w:fill="FFFFFF"/>
        </w:rPr>
        <w:t>发展，</w:t>
      </w:r>
      <w:r>
        <w:rPr>
          <w:rFonts w:hint="eastAsia" w:ascii="仿宋_GB2312" w:hAnsi="仿宋_GB2312" w:eastAsia="仿宋_GB2312" w:cs="仿宋_GB2312"/>
          <w:b/>
          <w:bCs/>
          <w:color w:val="auto"/>
          <w:spacing w:val="0"/>
          <w:sz w:val="32"/>
          <w:szCs w:val="32"/>
          <w:highlight w:val="none"/>
        </w:rPr>
        <w:t>打造优质高中名校。</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要以省内普通高中名校的标准进一步加强连州高中的内涵建设，带动连州市普通高中的整体发展。一是紧扣普通高中新课程改革，紧紧地抓住以学生发展核心素养的主线，全面落实新课程新教材的理念和要求，重组学习内容，改变教学过程和教学方法</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以及评价标准和评价方法，落实普通高中新课程改革和适应高考综合改革，</w:t>
      </w:r>
      <w:r>
        <w:rPr>
          <w:rFonts w:hint="eastAsia" w:ascii="仿宋_GB2312" w:hAnsi="仿宋_GB2312" w:eastAsia="仿宋_GB2312" w:cs="仿宋_GB2312"/>
          <w:color w:val="auto"/>
          <w:spacing w:val="0"/>
          <w:sz w:val="32"/>
          <w:szCs w:val="32"/>
          <w:highlight w:val="none"/>
          <w:shd w:val="clear" w:color="auto" w:fill="FFFFFF"/>
        </w:rPr>
        <w:t>各学科参加广东省合格性考试合格率达到教育现代化先进市的要求，高考成绩逐年突破。</w:t>
      </w:r>
      <w:r>
        <w:rPr>
          <w:rFonts w:hint="eastAsia" w:ascii="仿宋_GB2312" w:hAnsi="仿宋_GB2312" w:eastAsia="仿宋_GB2312" w:cs="仿宋_GB2312"/>
          <w:color w:val="auto"/>
          <w:spacing w:val="0"/>
          <w:sz w:val="32"/>
          <w:szCs w:val="32"/>
          <w:highlight w:val="none"/>
          <w:shd w:val="clear" w:color="auto" w:fill="FFFFFF"/>
          <w:lang w:val="en-US" w:eastAsia="zh-CN"/>
        </w:rPr>
        <w:t>二是积极推动普通高中优质特色发展，</w:t>
      </w:r>
      <w:r>
        <w:rPr>
          <w:rFonts w:hint="eastAsia" w:ascii="仿宋_GB2312" w:hAnsi="仿宋_GB2312" w:eastAsia="仿宋_GB2312" w:cs="仿宋_GB2312"/>
          <w:color w:val="auto"/>
          <w:spacing w:val="0"/>
          <w:sz w:val="32"/>
          <w:szCs w:val="32"/>
          <w:highlight w:val="none"/>
        </w:rPr>
        <w:t>在</w:t>
      </w:r>
      <w:r>
        <w:rPr>
          <w:rFonts w:hint="eastAsia" w:ascii="仿宋_GB2312" w:hAnsi="仿宋_GB2312" w:eastAsia="仿宋_GB2312" w:cs="仿宋_GB2312"/>
          <w:color w:val="auto"/>
          <w:spacing w:val="0"/>
          <w:sz w:val="32"/>
          <w:szCs w:val="32"/>
          <w:highlight w:val="none"/>
          <w:shd w:val="clear" w:color="auto" w:fill="FFFFFF"/>
        </w:rPr>
        <w:t>人文、数理、</w:t>
      </w:r>
      <w:r>
        <w:rPr>
          <w:rFonts w:hint="eastAsia" w:ascii="仿宋_GB2312" w:hAnsi="仿宋_GB2312" w:eastAsia="仿宋_GB2312" w:cs="仿宋_GB2312"/>
          <w:color w:val="auto"/>
          <w:spacing w:val="0"/>
          <w:sz w:val="32"/>
          <w:szCs w:val="32"/>
          <w:highlight w:val="none"/>
        </w:rPr>
        <w:t>艺术、体育、科技等方面发展特色项目，充分发挥学校的办学特色，</w:t>
      </w:r>
      <w:r>
        <w:rPr>
          <w:rFonts w:hint="eastAsia" w:ascii="仿宋_GB2312" w:hAnsi="仿宋_GB2312" w:eastAsia="仿宋_GB2312" w:cs="仿宋_GB2312"/>
          <w:color w:val="auto"/>
          <w:spacing w:val="0"/>
          <w:sz w:val="32"/>
          <w:szCs w:val="32"/>
          <w:highlight w:val="none"/>
          <w:shd w:val="clear" w:color="auto" w:fill="FFFFFF"/>
        </w:rPr>
        <w:t>加大特长生的培养力度，</w:t>
      </w:r>
      <w:r>
        <w:rPr>
          <w:rFonts w:hint="eastAsia" w:ascii="仿宋_GB2312" w:hAnsi="仿宋_GB2312" w:eastAsia="仿宋_GB2312" w:cs="仿宋_GB2312"/>
          <w:color w:val="auto"/>
          <w:spacing w:val="0"/>
          <w:sz w:val="32"/>
          <w:szCs w:val="32"/>
          <w:highlight w:val="none"/>
        </w:rPr>
        <w:t>促进提升学生的综合素质</w:t>
      </w:r>
      <w:r>
        <w:rPr>
          <w:rFonts w:hint="eastAsia" w:ascii="仿宋_GB2312" w:hAnsi="仿宋_GB2312" w:eastAsia="仿宋_GB2312" w:cs="仿宋_GB2312"/>
          <w:color w:val="auto"/>
          <w:spacing w:val="0"/>
          <w:sz w:val="32"/>
          <w:szCs w:val="32"/>
          <w:highlight w:val="none"/>
          <w:shd w:val="clear" w:color="auto" w:fill="FFFFFF"/>
        </w:rPr>
        <w:t>，主动适应高考招生模式的变化和学生自主长远发展</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rPr>
        <w:t>三是进一步拓展广清帮扶、协作，打造广清协作特色班，培训师资，开展课程研究和教学研究，提升教学水平。四是借助韶关学院等高等教育的力量，加大课程研究、教学改革、师资培训力度，力争在教科研方面有更好的成果。五是发挥连州中学的示范引领作用，带动连州</w:t>
      </w:r>
      <w:r>
        <w:rPr>
          <w:rFonts w:hint="eastAsia" w:ascii="仿宋_GB2312" w:hAnsi="仿宋_GB2312" w:eastAsia="仿宋_GB2312" w:cs="仿宋_GB2312"/>
          <w:color w:val="auto"/>
          <w:spacing w:val="0"/>
          <w:sz w:val="32"/>
          <w:szCs w:val="32"/>
          <w:highlight w:val="none"/>
          <w:lang w:eastAsia="zh-CN"/>
        </w:rPr>
        <w:t>乃至“</w:t>
      </w:r>
      <w:r>
        <w:rPr>
          <w:rFonts w:hint="eastAsia" w:ascii="仿宋_GB2312" w:hAnsi="仿宋_GB2312" w:eastAsia="仿宋_GB2312" w:cs="仿宋_GB2312"/>
          <w:color w:val="auto"/>
          <w:spacing w:val="0"/>
          <w:sz w:val="32"/>
          <w:szCs w:val="32"/>
          <w:highlight w:val="none"/>
        </w:rPr>
        <w:t>三连</w:t>
      </w:r>
      <w:r>
        <w:rPr>
          <w:rFonts w:hint="eastAsia" w:ascii="仿宋_GB2312" w:hAnsi="仿宋_GB2312" w:eastAsia="仿宋_GB2312" w:cs="仿宋_GB2312"/>
          <w:color w:val="auto"/>
          <w:spacing w:val="0"/>
          <w:sz w:val="32"/>
          <w:szCs w:val="32"/>
          <w:highlight w:val="none"/>
          <w:lang w:eastAsia="zh-CN"/>
        </w:rPr>
        <w:t>一阳”</w:t>
      </w:r>
      <w:r>
        <w:rPr>
          <w:rFonts w:hint="eastAsia" w:ascii="仿宋_GB2312" w:hAnsi="仿宋_GB2312" w:eastAsia="仿宋_GB2312" w:cs="仿宋_GB2312"/>
          <w:color w:val="auto"/>
          <w:spacing w:val="0"/>
          <w:sz w:val="32"/>
          <w:szCs w:val="32"/>
          <w:highlight w:val="none"/>
        </w:rPr>
        <w:t>地区的普通高中发展，进一步提升连州市普通高中的影响力，提升连州高中学校对优秀生的吸引力，降低优秀生流失率。</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5.积极探索协同育人机制，助力普通高中办学水平提升。</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进一步发挥广清对口帮扶作用，拓展交流协作平台，借助广州优质普通高中的资源，继续办好合作冠名班，实行互派管理人员和教师，引进粤港澳地区名校合作办学，通过多种方式进行加大帮扶协作力度，促进我市普通高中在学校管理、育人方式、教育教学、师资培训、教育科研等方面的改革和提升。积极探索与高等院校协同育人的办法，争取高等院校和我市普通高中联合开展课程开发、教材编写、教研活动，共建共享教育资源，建设具有连州特色的特色课程，合作组建教学科研团队，培育学科带头人，联合开展课题研究，拓宽学生学习空间，培养高中学生的职业意识与专业兴趣，形成体系开放、机制灵活、有机衔接的人才培养机制，全面提升连州普通高中的人才培养质量。</w:t>
      </w:r>
    </w:p>
    <w:p>
      <w:pPr>
        <w:pStyle w:val="3"/>
        <w:pageBreakBefore w:val="0"/>
        <w:kinsoku/>
        <w:overflowPunct/>
        <w:topLinePunct w:val="0"/>
        <w:bidi w:val="0"/>
        <w:spacing w:before="289" w:after="289" w:line="560" w:lineRule="exact"/>
        <w:jc w:val="center"/>
        <w:rPr>
          <w:rFonts w:ascii="楷体_GB2312" w:eastAsia="楷体_GB2312"/>
          <w:color w:val="auto"/>
          <w:spacing w:val="0"/>
          <w:sz w:val="32"/>
          <w:szCs w:val="32"/>
          <w:highlight w:val="none"/>
        </w:rPr>
      </w:pPr>
      <w:bookmarkStart w:id="19" w:name="_Toc124060258"/>
      <w:r>
        <w:rPr>
          <w:rFonts w:hint="eastAsia" w:ascii="黑体" w:hAnsi="黑体" w:eastAsia="黑体" w:cs="黑体"/>
          <w:color w:val="auto"/>
          <w:spacing w:val="0"/>
          <w:sz w:val="32"/>
          <w:szCs w:val="32"/>
          <w:highlight w:val="none"/>
        </w:rPr>
        <w:t>第四节  实施扩容提质强服务，提升职业教育服务发展的能力</w:t>
      </w:r>
      <w:bookmarkEnd w:id="19"/>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1.充实办学条件，扩大优质职业教育资源。</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全面贯彻落实《国家职业教育改革实施方案》《广东省教育厅关于进一步优化中等职业学校布局结构的意见》及广东省、清远市关于职业教育“扩容、提质、强服务”三年行动计划，谋划异地迁建广东省连州卫生学校，推动我市职业教育转型升级，提升人才培养质量，打造职业教育与普通教育、终身教育相互融通，具有类型特色明显、服务社会能力强、充满活力的现代职业教育与培训体系，扩大高素质技术技能人才供给，为服务经济社会发展提供人才支撑和智力支持。</w:t>
      </w:r>
    </w:p>
    <w:p>
      <w:pPr>
        <w:pStyle w:val="11"/>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实施连州市现代职业教育体系建设项目，调整优化校园布局，改善办学条件，增加场室设施，充实教学设备，扩大办学规模。广东省连州卫生学校提质改造，新增床位840个，充实办学条件，加强专业建设，增强综合实力，进一步提升教学质量、科研能力、管理水平、办学效益，成为自我发展能力和竞争力强的示范性学校，在办好中职教育的基础上，力争整体融入民族卫生健康职业学院。连州市职业技术学校实施扩容提质建设项目，新建学校综合楼，新建学生宿舍，增加床位2900个，新增技能培训场所9500平方米，使学校招生能力达到4000人</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使之达到以中等职业教育为主体，开放大学教育、职业技能培训两翼并进发展的富有办学特色的省级重点综合职业学校办学标准，集成人教育、全日制中等职业教育、业余高等学历教育、继续教育、劳动技能培训、在职在岗等各类培训为一体的多层次、多形式、多渠道的综合性“四位一体”职教中心。</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2.构建与产业发展梯度相适应的人才培养通道，提升技能型人才培养水平。</w:t>
      </w:r>
    </w:p>
    <w:p>
      <w:pPr>
        <w:pStyle w:val="11"/>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进一步拓展中职与高职“3+2”衔接培养、中高职教育贯通培养等人才培养模式，加强中职学校与高职院校在招生、课程、人才培养模式等方面的衔接，增大中高职衔接培养的规模，畅通中高职人才培养通道，提升高技能人才的培养效率。积极开展“1+X”证书试点工作</w:t>
      </w:r>
      <w:r>
        <w:rPr>
          <w:rFonts w:hint="eastAsia" w:ascii="仿宋_GB2312" w:hAnsi="仿宋_GB2312" w:eastAsia="仿宋_GB2312" w:cs="仿宋_GB2312"/>
          <w:color w:val="auto"/>
          <w:spacing w:val="0"/>
          <w:sz w:val="32"/>
          <w:szCs w:val="32"/>
          <w:highlight w:val="none"/>
          <w:shd w:val="clear" w:color="auto" w:fill="FFFFFF"/>
        </w:rPr>
        <w:t>，鼓励中职学校学生在获得学历证书的同时，积极考取有关的职业技能等级证书，中职学校学生技能等级证书的获取率逐年递增，夯实学生可持续发展基础。</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3.加强专业建设，促进内涵发展。</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要适应连州市基本实现新型工业化、信息化、城镇化、农业现代化以及培育战略性新兴产业、非金属矿产业、富硒农业产业基本建成</w:t>
      </w:r>
      <w:r>
        <w:rPr>
          <w:rFonts w:hint="eastAsia" w:ascii="仿宋_GB2312" w:hAnsi="仿宋_GB2312" w:eastAsia="仿宋_GB2312" w:cs="仿宋_GB2312"/>
          <w:color w:val="auto"/>
          <w:spacing w:val="0"/>
          <w:sz w:val="32"/>
          <w:szCs w:val="32"/>
          <w:highlight w:val="none"/>
          <w:lang w:eastAsia="zh-CN"/>
        </w:rPr>
        <w:t>现代化产业体系</w:t>
      </w:r>
      <w:r>
        <w:rPr>
          <w:rFonts w:hint="eastAsia" w:ascii="仿宋_GB2312" w:hAnsi="仿宋_GB2312" w:eastAsia="仿宋_GB2312" w:cs="仿宋_GB2312"/>
          <w:color w:val="auto"/>
          <w:spacing w:val="0"/>
          <w:sz w:val="32"/>
          <w:szCs w:val="32"/>
          <w:highlight w:val="none"/>
        </w:rPr>
        <w:t>的需要，积极调整专业设置，形成联动发展的专业群。要大力打造品牌专业，做好省级“双精准”专业建设工作，发展就业优势明显、发展潜力巨大的示范专业和校企合作项目，打造具有连州职业教育特色的品牌专业。加强“双师型”教师队伍建设，“双师型”教师占专业课教师比例超过75%，聘请行业企业的技术人才、能工巧匠为兼职教师，形成结构合理的专兼职教师队伍。积极开展教学改革、课程改革，着力培育高水平教育教学改革成果。</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4.深化校企合作，实现产教精准对接。</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积极推动职业学校与企业深化合作，主动对接清远民族工业园和连州市建设“双区”产业外溢承接大平台的需要，建成一批适应产业发展需求的校企共建实践教学基地，搭建线上与线下相结合的产教融合信息服务平台，建立专业调整与企业需求联动机制。职业学校要积极建设承接“双区”产业外溢需要的专业，以连州职业教育与“双区”外溢产业的精准对接，推动职业教育服务区域经济发展。</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textAlignment w:val="auto"/>
        <w:rPr>
          <w:rFonts w:ascii="仿宋_GB2312" w:hAnsi="仿宋_GB2312" w:eastAsia="仿宋_GB2312" w:cs="仿宋_GB2312"/>
          <w:b/>
          <w:bCs/>
          <w:color w:val="auto"/>
          <w:spacing w:val="0"/>
          <w:kern w:val="2"/>
          <w:sz w:val="32"/>
          <w:szCs w:val="32"/>
          <w:highlight w:val="none"/>
        </w:rPr>
      </w:pPr>
      <w:r>
        <w:rPr>
          <w:rFonts w:hint="eastAsia" w:ascii="仿宋_GB2312" w:hAnsi="仿宋_GB2312" w:eastAsia="仿宋_GB2312" w:cs="仿宋_GB2312"/>
          <w:b/>
          <w:bCs/>
          <w:color w:val="auto"/>
          <w:spacing w:val="0"/>
          <w:kern w:val="2"/>
          <w:sz w:val="32"/>
          <w:szCs w:val="32"/>
          <w:highlight w:val="none"/>
        </w:rPr>
        <w:t>5.积极开展职业培训，提高职业院校社会服务水平。</w:t>
      </w:r>
    </w:p>
    <w:p>
      <w:pPr>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06" w:firstLineChars="200"/>
        <w:jc w:val="left"/>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kern w:val="0"/>
          <w:sz w:val="32"/>
          <w:szCs w:val="32"/>
          <w:highlight w:val="none"/>
        </w:rPr>
        <w:t>落实职业院校实施学历教育与培训并举的法定职责，</w:t>
      </w:r>
      <w:r>
        <w:rPr>
          <w:rFonts w:hint="eastAsia" w:ascii="仿宋_GB2312" w:hAnsi="仿宋_GB2312" w:eastAsia="仿宋_GB2312" w:cs="仿宋_GB2312"/>
          <w:color w:val="auto"/>
          <w:spacing w:val="0"/>
          <w:kern w:val="0"/>
          <w:sz w:val="32"/>
          <w:szCs w:val="32"/>
          <w:highlight w:val="none"/>
          <w:shd w:val="clear" w:color="auto" w:fill="FFFFFF"/>
        </w:rPr>
        <w:t>充分发挥职业院校师资、设备的作用，积极面向社会开展各类培训。积极参与实施“粤菜师傅”“广东技工”“南粤家政”工程。开展面向农村的农业技术培训、面向特殊工种的特殊工种培训，开展创业培训、技能晋升培训，采取短期职业培训、定点合作培训、校企合作师傅带徒弟等方式分类开展职业技能培训。进一步推进连州技工学校“粤菜师傅”省级培训基地建设，扩大中餐烹饪培训规模，建设成为具有连州特色，立足连州本地，辐射“三连一阳”地区，省级“粤菜师傅”烹饪培训基地，传播连州饮食文化，成为传承和传播连州饮食文化的中坚力量，提升连州的知名度和影响力。</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20" w:name="_Toc124060259"/>
      <w:r>
        <w:rPr>
          <w:rFonts w:hint="eastAsia" w:ascii="黑体" w:hAnsi="黑体" w:eastAsia="黑体" w:cs="黑体"/>
          <w:color w:val="auto"/>
          <w:spacing w:val="0"/>
          <w:sz w:val="32"/>
          <w:szCs w:val="32"/>
          <w:highlight w:val="none"/>
        </w:rPr>
        <w:t>第五节  完善终身教育体系，建设学习型社会</w:t>
      </w:r>
      <w:bookmarkEnd w:id="20"/>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1.立足终身教育，构建开放多元的终身教育体系。</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shd w:val="clear" w:color="auto" w:fill="FFFFFF"/>
        </w:rPr>
        <w:t>积极开展成人教育、老年教育、青少年校外教育、社区教育、职业培训等，构建职前教育与职后教育、学历教育与培训教育、学校教育与社区教育、线下教育与线上教育相衔接沟通的终身教育体系，</w:t>
      </w:r>
      <w:r>
        <w:rPr>
          <w:rFonts w:hint="eastAsia" w:ascii="仿宋_GB2312" w:hAnsi="仿宋_GB2312" w:eastAsia="仿宋_GB2312" w:cs="仿宋_GB2312"/>
          <w:color w:val="auto"/>
          <w:spacing w:val="0"/>
          <w:sz w:val="32"/>
          <w:szCs w:val="32"/>
          <w:highlight w:val="none"/>
        </w:rPr>
        <w:t>推动学习型社会建设，促进终身教育的全民化、社区化和终身化，增强城市的创新力和凝聚力。加强宣传引导，改变传统</w:t>
      </w:r>
      <w:r>
        <w:rPr>
          <w:rFonts w:hint="eastAsia" w:ascii="仿宋_GB2312" w:hAnsi="仿宋_GB2312" w:eastAsia="仿宋_GB2312" w:cs="仿宋_GB2312"/>
          <w:color w:val="auto"/>
          <w:spacing w:val="0"/>
          <w:sz w:val="32"/>
          <w:szCs w:val="32"/>
          <w:highlight w:val="none"/>
          <w:lang w:eastAsia="zh-CN"/>
        </w:rPr>
        <w:t>的</w:t>
      </w:r>
      <w:r>
        <w:rPr>
          <w:rFonts w:hint="eastAsia" w:ascii="仿宋_GB2312" w:hAnsi="仿宋_GB2312" w:eastAsia="仿宋_GB2312" w:cs="仿宋_GB2312"/>
          <w:color w:val="auto"/>
          <w:spacing w:val="0"/>
          <w:sz w:val="32"/>
          <w:szCs w:val="32"/>
          <w:highlight w:val="none"/>
        </w:rPr>
        <w:t>教育学习观念，</w:t>
      </w:r>
      <w:r>
        <w:rPr>
          <w:rFonts w:hint="eastAsia" w:ascii="仿宋_GB2312" w:hAnsi="仿宋_GB2312" w:eastAsia="仿宋_GB2312" w:cs="仿宋_GB2312"/>
          <w:color w:val="auto"/>
          <w:spacing w:val="0"/>
          <w:sz w:val="32"/>
          <w:szCs w:val="32"/>
          <w:highlight w:val="none"/>
          <w:shd w:val="clear" w:color="auto" w:fill="FFFFFF"/>
        </w:rPr>
        <w:t>深入开展全民读书活动，引导全民树立终身学习理念，</w:t>
      </w:r>
      <w:r>
        <w:rPr>
          <w:rFonts w:hint="eastAsia" w:ascii="仿宋_GB2312" w:hAnsi="仿宋_GB2312" w:eastAsia="仿宋_GB2312" w:cs="仿宋_GB2312"/>
          <w:color w:val="auto"/>
          <w:spacing w:val="0"/>
          <w:sz w:val="32"/>
          <w:szCs w:val="32"/>
          <w:highlight w:val="none"/>
        </w:rPr>
        <w:t>营造全民学习的社会氛围，</w:t>
      </w:r>
      <w:r>
        <w:rPr>
          <w:rFonts w:hint="eastAsia" w:ascii="仿宋_GB2312" w:hAnsi="仿宋_GB2312" w:eastAsia="仿宋_GB2312" w:cs="仿宋_GB2312"/>
          <w:color w:val="auto"/>
          <w:spacing w:val="0"/>
          <w:sz w:val="32"/>
          <w:szCs w:val="32"/>
          <w:highlight w:val="none"/>
          <w:shd w:val="clear" w:color="auto" w:fill="FFFFFF"/>
        </w:rPr>
        <w:t>形成崇教好学的良好新风尚，</w:t>
      </w:r>
      <w:r>
        <w:rPr>
          <w:rFonts w:hint="eastAsia" w:ascii="仿宋_GB2312" w:hAnsi="仿宋_GB2312" w:eastAsia="仿宋_GB2312" w:cs="仿宋_GB2312"/>
          <w:color w:val="auto"/>
          <w:spacing w:val="0"/>
          <w:sz w:val="32"/>
          <w:szCs w:val="32"/>
          <w:highlight w:val="none"/>
        </w:rPr>
        <w:t>提升科学文化素质。要多种途径整合社会教育资源，建立公共培训体系，创造便民学习条件，</w:t>
      </w:r>
      <w:r>
        <w:rPr>
          <w:rFonts w:hint="eastAsia" w:ascii="仿宋_GB2312" w:hAnsi="仿宋_GB2312" w:eastAsia="仿宋_GB2312" w:cs="仿宋_GB2312"/>
          <w:color w:val="auto"/>
          <w:spacing w:val="0"/>
          <w:sz w:val="32"/>
          <w:szCs w:val="32"/>
          <w:highlight w:val="none"/>
          <w:shd w:val="clear" w:color="auto" w:fill="FFFFFF"/>
        </w:rPr>
        <w:t>促进教育的全民化、终身化，促进学习型组织、学习型社区、学习型城市的构建，到2025年基本建立连州市全民终身教育体系。</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2.提升服务能力，整合资源开创社会培训新模式。</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建立职业院校、用人单位、开放大学、社会培训机构协作联动的公共培训体系，通过资源整合、学校主体、联合共建、市场培育的形式建设各类型各层次职业培训公共平台，探索政府主导，行业企业开发培训方案，职业院校和培训机构开发课程的社会培训模式。完善农村社区教育网络，积极创造条件，充分运用网络、电视等现代远程教育手段，加强农村社区教育数字化建设，构筑服务“三农”的终身学习网络平台。依托乡镇成人文化技术学校，结合农村综合改革和农村生产生活实际，广泛开展农民实用生产技术、经营管理技术和农村电子商务等新业态、新文化培训，促进农民素质提高和农村富余劳动力转移就业，提高农民致富能力，推动社会主义新农村建设。建设信息化教育学习模式。积极推动教育模式变革和创新，探索互联网+的教育模式，广泛采用和推广网络教育资源，充分运用信息化教育手段，将混合学习、移动学习、泛在学习等新型学习手段进行整合，构建网络化、数字化、个性化、终身化的教育体系，建设“人人皆学、处处能学、时时可学”的学习型社会。</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3.大力开展社区教育，创建省级社区教育实验区。</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以社区为依托，以家庭、村（居）、乡镇、机关、企事业单位等为载体，以社区成员包括青少年、老年群体、在职人员等为对象，积极举办“全民终身学习活动周”“市民大讲堂”“全民读书节”等群众性学习活动，开展多种形式的社区教育培训活动，开展青少年校外素质教育、社会文化生活教育、职业培训。探索和实行“政府统筹领导、相关部门积极支持、社区自主组织，社区成员和群众广泛参与”的社区教育运行机制，形成学校教育、家庭教育、社会教育、职业培训等相互沟通、资源共享的社区教育模式，整合社区内教育资源，丰富社区教育内容，创新社区教育形式，不断扩大终身学习资源供给，构建终身教育体系和建设学习型社会，力争创建广东省社区教育实验区。</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hint="eastAsia" w:ascii="仿宋_GB2312" w:hAnsi="仿宋_GB2312" w:eastAsia="仿宋_GB2312" w:cs="仿宋_GB2312"/>
          <w:b w:val="0"/>
          <w:bCs w:val="0"/>
          <w:color w:val="auto"/>
          <w:spacing w:val="0"/>
          <w:sz w:val="32"/>
          <w:szCs w:val="32"/>
          <w:highlight w:val="none"/>
        </w:rPr>
      </w:pPr>
      <w:r>
        <w:rPr>
          <w:rFonts w:hint="eastAsia" w:ascii="仿宋_GB2312" w:eastAsia="仿宋_GB2312"/>
          <w:b/>
          <w:bCs/>
          <w:color w:val="auto"/>
          <w:spacing w:val="0"/>
          <w:sz w:val="32"/>
          <w:szCs w:val="32"/>
          <w:highlight w:val="none"/>
        </w:rPr>
        <w:t>4.推动特殊教育公平融合发展。</w:t>
      </w:r>
      <w:r>
        <w:rPr>
          <w:rFonts w:hint="eastAsia" w:ascii="仿宋_GB2312" w:eastAsia="仿宋_GB2312"/>
          <w:b w:val="0"/>
          <w:bCs w:val="0"/>
          <w:color w:val="auto"/>
          <w:spacing w:val="0"/>
          <w:sz w:val="32"/>
          <w:szCs w:val="32"/>
          <w:highlight w:val="none"/>
        </w:rPr>
        <w:t>完善特殊教育体系，积极推进特殊教育学校、康复机构或医院开设学前教育部或幼儿园，扩大学前阶段特殊教育资源供给</w:t>
      </w:r>
      <w:r>
        <w:rPr>
          <w:rFonts w:hint="eastAsia" w:ascii="仿宋_GB2312" w:eastAsia="仿宋_GB2312"/>
          <w:b w:val="0"/>
          <w:bCs w:val="0"/>
          <w:color w:val="auto"/>
          <w:spacing w:val="0"/>
          <w:sz w:val="32"/>
          <w:szCs w:val="32"/>
          <w:highlight w:val="none"/>
          <w:lang w:eastAsia="zh-CN"/>
        </w:rPr>
        <w:t>。</w:t>
      </w:r>
      <w:r>
        <w:rPr>
          <w:rFonts w:hint="eastAsia" w:ascii="仿宋_GB2312" w:eastAsia="仿宋_GB2312"/>
          <w:b w:val="0"/>
          <w:bCs w:val="0"/>
          <w:color w:val="auto"/>
          <w:spacing w:val="0"/>
          <w:sz w:val="32"/>
          <w:szCs w:val="32"/>
          <w:highlight w:val="none"/>
        </w:rPr>
        <w:t>加快发展以职业教育为主的残疾人高中阶段教育，支持各种职业教育培训机构加强残疾人职业技能培训，拓宽和完善残疾人终身学习通道。加强就业指导，做好残疾人教育与就业衔接工作。推进连州市特殊教育学校扩建工程</w:t>
      </w:r>
      <w:r>
        <w:rPr>
          <w:rFonts w:hint="eastAsia" w:ascii="仿宋_GB2312" w:eastAsia="仿宋_GB2312"/>
          <w:b w:val="0"/>
          <w:bCs w:val="0"/>
          <w:color w:val="auto"/>
          <w:spacing w:val="0"/>
          <w:sz w:val="32"/>
          <w:szCs w:val="32"/>
          <w:highlight w:val="none"/>
          <w:lang w:eastAsia="zh-CN"/>
        </w:rPr>
        <w:t>，</w:t>
      </w:r>
      <w:r>
        <w:rPr>
          <w:rFonts w:hint="eastAsia" w:ascii="仿宋_GB2312" w:eastAsia="仿宋_GB2312"/>
          <w:b w:val="0"/>
          <w:bCs w:val="0"/>
          <w:color w:val="auto"/>
          <w:spacing w:val="0"/>
          <w:sz w:val="32"/>
          <w:szCs w:val="32"/>
          <w:highlight w:val="none"/>
        </w:rPr>
        <w:t>适龄残疾儿童少年义务教育入学率保持在97%以上，送教上门比例达到国家要求。加强专业化特殊教育教师队伍建设。加强特殊教育保障。落实特殊教育相关工作经费，健全家庭经济困难学生、特殊儿童、留守儿童和随迁子女等特殊群体关爱与精准帮扶机制。</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5.加强科普教育工作，推动实现全民科学素质持续提升。</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深入实施《科学素质纲要》</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扎实开展全民科学素质教育，增强全社会科学意识和创造活力，建成适应创新发展需求的公民科学素质组织实施、基础设施、条件保障等体系，公民科学素质建设的公共服务能力显著增强，我市公民具备基本科学素质的比例达到清远市平均水平。</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促进创新、协调、绿色、开放、共享发展理念深入人心。</w:t>
      </w:r>
      <w:r>
        <w:rPr>
          <w:rFonts w:hint="eastAsia" w:ascii="仿宋_GB2312" w:hAnsi="仿宋_GB2312" w:eastAsia="仿宋_GB2312" w:cs="仿宋_GB2312"/>
          <w:color w:val="auto"/>
          <w:spacing w:val="0"/>
          <w:sz w:val="32"/>
          <w:szCs w:val="32"/>
          <w:highlight w:val="none"/>
        </w:rPr>
        <w:t>围绕经济发展新常态的需求，突出节约能源资源、保护生态环境、保障安全健康、促进创新创造的工作主题，更加关注保障和改善民生，大力宣传普及绿色发展、安全健康、高新技术等知识和观念，促进全社会形成崇尚创新创造和科学文明的良好氛围。扎实推进青少年、农民、城镇劳动者、领导干部和公务员等重点人群科学素质工作，青少年的科学兴趣、创新意识、学习实践能力得到增强</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农民和城乡劳动者的科学生产生活能力不断提升</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领导干部和公务员的科学意识和决策水平不断</w:t>
      </w:r>
      <w:r>
        <w:rPr>
          <w:rFonts w:hint="eastAsia" w:ascii="仿宋_GB2312" w:hAnsi="仿宋_GB2312" w:eastAsia="仿宋_GB2312" w:cs="仿宋_GB2312"/>
          <w:color w:val="auto"/>
          <w:spacing w:val="0"/>
          <w:sz w:val="32"/>
          <w:szCs w:val="32"/>
          <w:highlight w:val="none"/>
          <w:lang w:eastAsia="zh-CN"/>
        </w:rPr>
        <w:t>提升</w:t>
      </w:r>
      <w:r>
        <w:rPr>
          <w:rFonts w:hint="eastAsia" w:ascii="仿宋_GB2312" w:hAnsi="仿宋_GB2312" w:eastAsia="仿宋_GB2312" w:cs="仿宋_GB2312"/>
          <w:color w:val="auto"/>
          <w:spacing w:val="0"/>
          <w:sz w:val="32"/>
          <w:szCs w:val="32"/>
          <w:highlight w:val="none"/>
        </w:rPr>
        <w:t>。公共科普服务能力明显增强，科技教育与培训体系不断完善，科普基础设施的服务能力不断增强，科普传播与信息化水平显著提高，科普人才队伍不断发展壮大，社区科普覆盖面进一步扩大，公民提高科学素质的机会与途径显著增多，科技教育和创新活动水平显著提高。公民科学素质建设的长效机制不断完善，公民科学素质建设的共建机制、社会动员、监测评估机制等机制进一步健全。要发挥学校在科普教育中的带动作用，提高教师的科学素质，学校积极组织学生开展科普教育活动；社会各方面参与公民科学素质建设的积极性明显提高，社会化工作格局基本形成。</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6.积极推进家校社共育，营造有利于青少年学生成长的社会氛围。</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val="0"/>
          <w:bCs w:val="0"/>
          <w:color w:val="auto"/>
          <w:spacing w:val="0"/>
          <w:sz w:val="32"/>
          <w:szCs w:val="32"/>
          <w:highlight w:val="none"/>
        </w:rPr>
        <w:t>推进中小学校外教育实践基地建设。</w:t>
      </w:r>
      <w:r>
        <w:rPr>
          <w:rFonts w:hint="eastAsia" w:ascii="仿宋_GB2312" w:hAnsi="仿宋_GB2312" w:eastAsia="仿宋_GB2312" w:cs="仿宋_GB2312"/>
          <w:b w:val="0"/>
          <w:bCs w:val="0"/>
          <w:color w:val="auto"/>
          <w:spacing w:val="0"/>
          <w:sz w:val="32"/>
          <w:szCs w:val="32"/>
          <w:highlight w:val="none"/>
          <w:lang w:eastAsia="zh-CN"/>
        </w:rPr>
        <w:t>一是</w:t>
      </w:r>
      <w:r>
        <w:rPr>
          <w:rFonts w:hint="eastAsia" w:ascii="仿宋_GB2312" w:hAnsi="仿宋_GB2312" w:eastAsia="仿宋_GB2312" w:cs="仿宋_GB2312"/>
          <w:color w:val="auto"/>
          <w:spacing w:val="0"/>
          <w:sz w:val="32"/>
          <w:szCs w:val="32"/>
          <w:highlight w:val="none"/>
        </w:rPr>
        <w:t>继续推进并巩固乡村学校少年宫建设，进一步优化原有乡村学校少年宫的建设，完善乡村学校少年宫的硬件设施，提高利用率，加强辅导员队伍建设，丰富活动内容，开展形式多样的爱国主义宣传教育、丰富多彩的文体娱乐活动、特色鲜明的技能培训和科技制作，广泛充分发挥乡村学校少年宫的教育服务功能，为培养未成年人社会责任感、法治意识、创新精神和实践能力开辟更多渠道，为农村中小学生成为有用之才创造更多机会，为提高学生的基本素养和综合素质、培养学生的实践能力提供学习平台。</w:t>
      </w:r>
      <w:r>
        <w:rPr>
          <w:rFonts w:hint="eastAsia" w:ascii="仿宋_GB2312" w:hAnsi="仿宋_GB2312" w:eastAsia="仿宋_GB2312" w:cs="仿宋_GB2312"/>
          <w:color w:val="auto"/>
          <w:spacing w:val="0"/>
          <w:sz w:val="32"/>
          <w:szCs w:val="32"/>
          <w:highlight w:val="none"/>
          <w:lang w:eastAsia="zh-CN"/>
        </w:rPr>
        <w:t>二是</w:t>
      </w:r>
      <w:r>
        <w:rPr>
          <w:rFonts w:hint="eastAsia" w:ascii="仿宋_GB2312" w:hAnsi="仿宋_GB2312" w:eastAsia="仿宋_GB2312" w:cs="仿宋_GB2312"/>
          <w:color w:val="auto"/>
          <w:spacing w:val="0"/>
          <w:sz w:val="32"/>
          <w:szCs w:val="32"/>
          <w:highlight w:val="none"/>
        </w:rPr>
        <w:t>借助“三宽”教育资源，优化家长学校建设，推动“三宽”教育理念进入家庭、进入家长头脑。通过创建“全国规范化家长学校实践活动实验区”，进一步改善我市的家庭教育生态环境，探索家校共育的新途径、新模式、新常态，进一步优化未成年人思想道德建设工作，铸造连州市“家校社”共育特色品牌。</w:t>
      </w:r>
      <w:r>
        <w:rPr>
          <w:rFonts w:hint="eastAsia" w:ascii="仿宋_GB2312" w:hAnsi="仿宋_GB2312" w:eastAsia="仿宋_GB2312" w:cs="仿宋_GB2312"/>
          <w:color w:val="auto"/>
          <w:spacing w:val="0"/>
          <w:sz w:val="32"/>
          <w:szCs w:val="32"/>
          <w:highlight w:val="none"/>
          <w:lang w:eastAsia="zh-CN"/>
        </w:rPr>
        <w:t>三是</w:t>
      </w:r>
      <w:r>
        <w:rPr>
          <w:rFonts w:hint="eastAsia" w:ascii="仿宋_GB2312" w:hAnsi="仿宋_GB2312" w:eastAsia="仿宋_GB2312" w:cs="仿宋_GB2312"/>
          <w:color w:val="auto"/>
          <w:spacing w:val="0"/>
          <w:sz w:val="32"/>
          <w:szCs w:val="32"/>
          <w:highlight w:val="none"/>
        </w:rPr>
        <w:t>加大中小学</w:t>
      </w:r>
      <w:r>
        <w:rPr>
          <w:rFonts w:hint="eastAsia" w:ascii="仿宋_GB2312" w:hAnsi="仿宋_GB2312" w:eastAsia="仿宋_GB2312" w:cs="仿宋_GB2312"/>
          <w:color w:val="auto"/>
          <w:spacing w:val="0"/>
          <w:sz w:val="32"/>
          <w:szCs w:val="32"/>
          <w:highlight w:val="none"/>
          <w:lang w:eastAsia="zh-CN"/>
        </w:rPr>
        <w:t>生研学</w:t>
      </w:r>
      <w:r>
        <w:rPr>
          <w:rFonts w:hint="eastAsia" w:ascii="仿宋_GB2312" w:hAnsi="仿宋_GB2312" w:eastAsia="仿宋_GB2312" w:cs="仿宋_GB2312"/>
          <w:color w:val="auto"/>
          <w:spacing w:val="0"/>
          <w:sz w:val="32"/>
          <w:szCs w:val="32"/>
          <w:highlight w:val="none"/>
        </w:rPr>
        <w:t>实践</w:t>
      </w:r>
      <w:r>
        <w:rPr>
          <w:rFonts w:hint="eastAsia" w:ascii="仿宋_GB2312" w:hAnsi="仿宋_GB2312" w:eastAsia="仿宋_GB2312" w:cs="仿宋_GB2312"/>
          <w:color w:val="auto"/>
          <w:spacing w:val="0"/>
          <w:sz w:val="32"/>
          <w:szCs w:val="32"/>
          <w:highlight w:val="none"/>
          <w:lang w:eastAsia="zh-CN"/>
        </w:rPr>
        <w:t>教育</w:t>
      </w:r>
      <w:r>
        <w:rPr>
          <w:rFonts w:hint="eastAsia" w:ascii="仿宋_GB2312" w:hAnsi="仿宋_GB2312" w:eastAsia="仿宋_GB2312" w:cs="仿宋_GB2312"/>
          <w:color w:val="auto"/>
          <w:spacing w:val="0"/>
          <w:sz w:val="32"/>
          <w:szCs w:val="32"/>
          <w:highlight w:val="none"/>
        </w:rPr>
        <w:t>，</w:t>
      </w:r>
      <w:r>
        <w:rPr>
          <w:rFonts w:hint="eastAsia" w:ascii="仿宋_GB2312" w:hAnsi="仿宋_GB2312" w:eastAsia="仿宋_GB2312" w:cs="仿宋_GB2312"/>
          <w:color w:val="auto"/>
          <w:spacing w:val="0"/>
          <w:sz w:val="32"/>
          <w:szCs w:val="32"/>
          <w:highlight w:val="none"/>
          <w:lang w:eastAsia="zh-CN"/>
        </w:rPr>
        <w:t>建立管理规范、责任清晰、安全保障的研学</w:t>
      </w:r>
      <w:r>
        <w:rPr>
          <w:rFonts w:hint="eastAsia" w:ascii="仿宋_GB2312" w:hAnsi="仿宋_GB2312" w:eastAsia="仿宋_GB2312" w:cs="仿宋_GB2312"/>
          <w:color w:val="auto"/>
          <w:spacing w:val="0"/>
          <w:sz w:val="32"/>
          <w:szCs w:val="32"/>
          <w:highlight w:val="none"/>
        </w:rPr>
        <w:t>实践</w:t>
      </w:r>
      <w:r>
        <w:rPr>
          <w:rFonts w:hint="eastAsia" w:ascii="仿宋_GB2312" w:hAnsi="仿宋_GB2312" w:eastAsia="仿宋_GB2312" w:cs="仿宋_GB2312"/>
          <w:color w:val="auto"/>
          <w:spacing w:val="0"/>
          <w:sz w:val="32"/>
          <w:szCs w:val="32"/>
          <w:highlight w:val="none"/>
          <w:lang w:eastAsia="zh-CN"/>
        </w:rPr>
        <w:t>教育工作机制，有计划组织、指导各校开展研究性学习和实践体验相结合的校外教育活动，</w:t>
      </w:r>
      <w:r>
        <w:rPr>
          <w:rFonts w:hint="eastAsia" w:ascii="仿宋_GB2312" w:hAnsi="仿宋_GB2312" w:eastAsia="仿宋_GB2312" w:cs="仿宋_GB2312"/>
          <w:color w:val="auto"/>
          <w:spacing w:val="0"/>
          <w:sz w:val="32"/>
          <w:szCs w:val="32"/>
          <w:highlight w:val="none"/>
        </w:rPr>
        <w:t>发挥职业院校技能实践基地，以及企业的校企合作实践基地为载体，创建一批集职业启蒙、实践体验、能力训练三位一体的“职业体验基地”，为中小学师生和家长开放职教课程，举办职业体验活动，进行职业生涯启蒙及规划。</w:t>
      </w:r>
    </w:p>
    <w:p>
      <w:pPr>
        <w:pStyle w:val="3"/>
        <w:pageBreakBefore w:val="0"/>
        <w:kinsoku/>
        <w:overflowPunct/>
        <w:topLinePunct w:val="0"/>
        <w:bidi w:val="0"/>
        <w:spacing w:before="289" w:after="289" w:line="560" w:lineRule="exact"/>
        <w:jc w:val="center"/>
        <w:rPr>
          <w:rFonts w:ascii="楷体_GB2312" w:eastAsia="楷体_GB2312"/>
          <w:color w:val="auto"/>
          <w:spacing w:val="0"/>
          <w:sz w:val="32"/>
          <w:szCs w:val="32"/>
          <w:highlight w:val="none"/>
        </w:rPr>
      </w:pPr>
      <w:bookmarkStart w:id="21" w:name="_Toc124060260"/>
      <w:r>
        <w:rPr>
          <w:rFonts w:hint="eastAsia" w:ascii="楷体_GB2312" w:eastAsia="楷体_GB2312"/>
          <w:color w:val="auto"/>
          <w:spacing w:val="0"/>
          <w:sz w:val="32"/>
          <w:szCs w:val="32"/>
          <w:highlight w:val="none"/>
        </w:rPr>
        <w:t>第六节  建设高素质专业化教师队伍，推动教育高质量发展</w:t>
      </w:r>
      <w:bookmarkEnd w:id="21"/>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1.加强师德师风建设，提升教师教书育人能力素质。</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全面提高教师思想政治素质</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将理想信念教育放在首位，引导教师坚定“四个自信”、带头弘扬和践行社会主义核心价值观。创新教师思想政治工作方式方法，强化教师社会实践参与，推动教师充分了解党情、国情、省情、社情、民情，增强思想政治工作的针对性和实效性。弘扬高尚师德</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健全教育、宣传、考核、监督、奖惩相结合的师德建设长效机制。引导广大教师以德立身、以德立学、以德施教、以德育德，全心全意做学生锤炼品格、学习知识、创新思维、奉献祖国的引路人。将师德教育摆在教师培养培训工作首位，加强师德宣传，创新师德宣传模式，弘扬新时代高尚师德，展现优秀教师精神风貌，营造良好的尊师重教氛围。健全师德考核制度，将师德建设作为学校工作考核和办学质量评估的重要指标，把师德表现作为教师资格认定、招聘录用、考核评价、职称评聘、评优评先、定期注册的首要内容。建立健全学校、教师、学生、家长和社会广泛参与的师德监督体系，注重加强对教师思想政治素质、师德师风等的监督。建立师德违规行为曝光制度，严格执行师德表现一票否决制度。</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以党建引领师资队伍建设。</w:t>
      </w:r>
      <w:r>
        <w:rPr>
          <w:rFonts w:hint="eastAsia" w:ascii="仿宋_GB2312" w:hAnsi="仿宋_GB2312" w:eastAsia="仿宋_GB2312" w:cs="仿宋_GB2312"/>
          <w:color w:val="auto"/>
          <w:spacing w:val="0"/>
          <w:sz w:val="32"/>
          <w:szCs w:val="32"/>
          <w:highlight w:val="none"/>
        </w:rPr>
        <w:t>加强教师党支部和党员队伍建设，将全面从严治党要求落实到每个教师党支部和教师党员，把党的政治建设摆在首位，用习近平新时代中国特色社会主义思想武装头脑，充分发挥教师党支部教育管理监督党员和组织宣传凝聚服务师生的战斗堡垒作用，充分发挥党员教师的先锋模范作用，引导党员教师增强“四个意识”，自觉爱党护党为党，敬业修德，奉献社会，争做“四有”好老师的示范标杆。实施教师党支部书记“党建带头人、业务带头人”培育工程，每年对教师党支部书记轮训一遍。积极发展符合条件的优秀人才入党，健全把骨干教师培养成党员，把党员教师培养成教学、科研、管理骨干的“双培养”机制。完善党务工作队伍激励政策，落实专职党务工作人员与同级行政管理人员同等待遇，兼职党务工作人员按班主任工作量计算。</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2.深化教师管理制度改革，优化教师资源配置。</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全面落实中小学教师“县管校聘”工作</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打通同层横向流动、向上递进流动、向下跨校流动的通道，激发全体教师的活力与积极性。依法依规统筹教师资源配置和岗位聘用，深入推进中小学教师、校长交流轮岗，实行教师聘期制、校长任期制管理，推动城镇优秀教师、校长向乡村学校、薄弱学校流动。实行学区（乡镇）内走教制度，市可根据实际给予相应补贴，采取有效措施解决学区（乡镇）内音乐、美术、体育等紧缺学科教师不足问题。配齐配足思政课教师以及特殊教育学校教师和普通学校特殊教育专兼职资源教师、职业院校专业教师。落实学生规模1000人以上的中学、1200人以上的小学的专职心理教师配备要求。设分校区的学校，每个独立校区至少配备1名专职心理教师要求。幼儿园参照《连州市中小学校长教师交流轮岗工作实施办法》，每年幼儿园教师交流轮岗的比例不低于符合交流条件教师总数的10%，其中骨干教师交流轮岗不低于交流总数的20%。实施教师学历（学位）提升工作方案及专项财政补助政策，鼓励教师进修提升学历（学位）。抓好教师招聘引进工作。加大教育高层次人才引进力度，多渠道、多方式引进市外名教师、名校长。落实公费定向培养中小学教师计划，积极与师范院校合作，采取定向招生、定向培养、定期服务等方式，为乡村学校及教学点培养“一专多能”教师和音乐、体育、美术等紧缺学科教师。大力培养小学全科教师、普通高中双（多）科教师，以适应中小学课程改革需要。</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完善教师待遇保障制度</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健全中小学教师工资收入随当地公务员工资收入动态调整机制，确保县域内中小学教师平均工资收入水平不低于或高于当地公务员平均工资收入水平，县域内农村中小学教师平均工资收入水平不低于或高于当地城镇教师平均工资收入水平。大力提升乡村教师待遇，落实高校毕业生到乡村从教上岗退费政策，落实山区和农村边远地区学校教师生活补助政策，鼓励有条件的地方提高补助标准；在业务培训、职称评聘、表彰奖励等方面向乡村青年教师倾斜，优化乡村教师发展环境。实行教师编制配备和政府购买工勤服务相结合，满足教育快速发展需求。加强公办学校临聘教师管理，按照有关规定统一标准、统一招聘、统筹调配临聘教师，完善临聘教师合同管理，确保临聘教师与公办教师同工同酬。实施银龄讲学计划，鼓励支持乐于奉献、身体健康的退休优秀教师到乡村和基层学校支教讲学。鼓励支持符合条件的志愿者支教。</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3.强化教师素质能力，全面提升师资队伍专业化水平。</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以提高教育教学能力为核心，加强教师专业化素质与能力，建设一支高素质专业化的教师队伍。</w:t>
      </w:r>
      <w:r>
        <w:rPr>
          <w:rFonts w:hint="eastAsia" w:ascii="仿宋_GB2312" w:hAnsi="仿宋_GB2312" w:eastAsia="仿宋_GB2312" w:cs="仿宋_GB2312"/>
          <w:color w:val="auto"/>
          <w:spacing w:val="0"/>
          <w:sz w:val="32"/>
          <w:szCs w:val="32"/>
          <w:highlight w:val="none"/>
        </w:rPr>
        <w:t>实施教师学历（学位）提升工作方案，为义务教育学校侧重培养素质全面、业务见长的本科层次教师，为高中阶段教育学校侧重培养专业突出、底蕴深厚的研究生层次教师。全面提高幼儿园教师质量，建设一支高素质善保教的教师队伍。加强幼儿园教师培养课程体系建设，突出保教融合，科学开设儿童发展、保育活动、教育活动类课程，强化实践性课程，培养学前教育师范生综合能力。全面提高职业院校教师质量，建设一支高素质双师型教师队伍。深入实施职业院校教师素质提高计划，推动职业院校与大中型企业合作建设双师型教师培养培训基地，校企合作建立一支技艺精湛、专兼结合的双师型教师队伍。幼儿园教师基本实现全员持证上岗，幼儿园专任教师大专以上学历比例达到80%，小学、初中专任教师本科以上学历比例分别达到70%和90%，高中阶段学校教师硕士研究生以上学历比例达到15%，职业院校专业课教师中双师型教师比例稳定在60%以上。</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以提高教育管理能力为核心，打造专业化</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b/>
          <w:bCs/>
          <w:color w:val="auto"/>
          <w:spacing w:val="0"/>
          <w:sz w:val="32"/>
          <w:szCs w:val="32"/>
          <w:highlight w:val="none"/>
        </w:rPr>
        <w:t>专家化的中小学（幼儿园）校（园）长队伍。完</w:t>
      </w:r>
      <w:r>
        <w:rPr>
          <w:rFonts w:hint="eastAsia" w:ascii="仿宋_GB2312" w:hAnsi="仿宋_GB2312" w:eastAsia="仿宋_GB2312" w:cs="仿宋_GB2312"/>
          <w:color w:val="auto"/>
          <w:spacing w:val="0"/>
          <w:sz w:val="32"/>
          <w:szCs w:val="32"/>
          <w:highlight w:val="none"/>
        </w:rPr>
        <w:t>善以校长职级制度为核心的校长管理制度体系，提高校长队伍专业化水平。完善校（园）长任期目标责任制。推进校（园）长双向交流挂职工作，探索推进学校中层以上干部交流任职。提升校长办学治校、推进课改教改的能力，以及提高教师课程执行力和教育教学水平的能力。实施三年一周期的校长培养工程、农村中小学校校长能力提升研修，全面提升校长依法办学治校能力。</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打造一支高素质的班主任队伍。</w:t>
      </w:r>
      <w:r>
        <w:rPr>
          <w:rFonts w:hint="eastAsia" w:ascii="仿宋_GB2312" w:hAnsi="仿宋_GB2312" w:eastAsia="仿宋_GB2312" w:cs="仿宋_GB2312"/>
          <w:color w:val="auto"/>
          <w:spacing w:val="0"/>
          <w:sz w:val="32"/>
          <w:szCs w:val="32"/>
          <w:highlight w:val="none"/>
        </w:rPr>
        <w:t>建立和创新班主任工作机制</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完善班主任任职资格制度、班主任选聘及任免制度、学习交流和研究制度，落实班主任津贴制度；将班主任工作经历作为评聘高一级专业技术职务的必备条件，班主任工作量按当地教师标准课时工作量一半计算。以提高教研科研能力为核心，打造一支高素质的教研员队伍。完善市、校教研工作体系，优化教研员岗位结构比例，按照国家课程方案配齐配强专职教研员。建立教研员与学校教师顶岗交流制度和专职教研员定期到中小学任教制度，教研员在岗工作满5年后，原则上要到中小学校（幼儿园）从事1学年以上教育教学工作。积极推进“互联网+教研”新模式，打造网络教研共同体。打造一支高素质的督学队伍。完善督导机构设置及人员配置，完善督学准入机制、聘请机制和淘汰机制以及督学责任区建设考评机制。加强教育督导与信息化的融合，实行督学责任区和学校督导网格化管理。</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4.实施“三名工程”，加强骨干教师团队建设。</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val="0"/>
          <w:bCs w:val="0"/>
          <w:color w:val="auto"/>
          <w:spacing w:val="0"/>
          <w:sz w:val="32"/>
          <w:szCs w:val="32"/>
          <w:highlight w:val="none"/>
        </w:rPr>
        <w:t>深入实施中小学“百千万人才培养工程”</w:t>
      </w:r>
      <w:r>
        <w:rPr>
          <w:rFonts w:hint="eastAsia" w:ascii="仿宋_GB2312" w:hAnsi="仿宋_GB2312" w:eastAsia="仿宋_GB2312" w:cs="仿宋_GB2312"/>
          <w:b w:val="0"/>
          <w:bCs w:val="0"/>
          <w:color w:val="auto"/>
          <w:spacing w:val="0"/>
          <w:sz w:val="32"/>
          <w:szCs w:val="32"/>
          <w:highlight w:val="none"/>
          <w:lang w:eastAsia="zh-CN"/>
        </w:rPr>
        <w:t>。一是</w:t>
      </w:r>
      <w:r>
        <w:rPr>
          <w:rFonts w:hint="eastAsia" w:ascii="仿宋_GB2312" w:hAnsi="仿宋_GB2312" w:eastAsia="仿宋_GB2312" w:cs="仿宋_GB2312"/>
          <w:color w:val="auto"/>
          <w:spacing w:val="0"/>
          <w:sz w:val="32"/>
          <w:szCs w:val="32"/>
          <w:highlight w:val="none"/>
        </w:rPr>
        <w:t>开展名师、名校长、名班主任工作室建设，发挥示范引领作用，打造连州名教师、名校长（园长）、名班主任队伍。持续开展“三名”培养工程，每年安排10-20名乡村中小学校长参加专题研修，每两年重点培养我市3名名校长、5名名班主任、10名名教师，建立“三名”教师人才库，选拔30名校长后备人才进行专业培养。到2025年，市</w:t>
      </w:r>
      <w:r>
        <w:rPr>
          <w:rFonts w:hint="eastAsia" w:ascii="仿宋_GB2312" w:hAnsi="仿宋_GB2312" w:eastAsia="仿宋_GB2312" w:cs="仿宋_GB2312"/>
          <w:color w:val="auto"/>
          <w:spacing w:val="0"/>
          <w:sz w:val="32"/>
          <w:szCs w:val="32"/>
          <w:highlight w:val="none"/>
          <w:lang w:val="zh-CN"/>
        </w:rPr>
        <w:t>级名教师、名班主任、名校长工作室</w:t>
      </w:r>
      <w:r>
        <w:rPr>
          <w:rFonts w:hint="eastAsia" w:ascii="仿宋_GB2312" w:hAnsi="仿宋_GB2312" w:eastAsia="仿宋_GB2312" w:cs="仿宋_GB2312"/>
          <w:color w:val="auto"/>
          <w:spacing w:val="0"/>
          <w:sz w:val="32"/>
          <w:szCs w:val="32"/>
          <w:highlight w:val="none"/>
        </w:rPr>
        <w:t>不少于</w:t>
      </w:r>
      <w:r>
        <w:rPr>
          <w:rFonts w:hint="eastAsia" w:ascii="仿宋_GB2312" w:hAnsi="仿宋_GB2312" w:eastAsia="仿宋_GB2312" w:cs="仿宋_GB2312"/>
          <w:color w:val="auto"/>
          <w:spacing w:val="0"/>
          <w:sz w:val="32"/>
          <w:szCs w:val="32"/>
          <w:highlight w:val="none"/>
          <w:lang w:val="en-US" w:eastAsia="zh-CN"/>
        </w:rPr>
        <w:t>30</w:t>
      </w:r>
      <w:r>
        <w:rPr>
          <w:rFonts w:hint="eastAsia" w:ascii="仿宋_GB2312" w:hAnsi="仿宋_GB2312" w:eastAsia="仿宋_GB2312" w:cs="仿宋_GB2312"/>
          <w:color w:val="auto"/>
          <w:spacing w:val="0"/>
          <w:sz w:val="32"/>
          <w:szCs w:val="32"/>
          <w:highlight w:val="none"/>
        </w:rPr>
        <w:t>个。</w:t>
      </w:r>
      <w:r>
        <w:rPr>
          <w:rFonts w:hint="eastAsia" w:ascii="仿宋_GB2312" w:hAnsi="仿宋_GB2312" w:eastAsia="仿宋_GB2312" w:cs="仿宋_GB2312"/>
          <w:color w:val="auto"/>
          <w:spacing w:val="0"/>
          <w:sz w:val="32"/>
          <w:szCs w:val="32"/>
          <w:highlight w:val="none"/>
          <w:lang w:eastAsia="zh-CN"/>
        </w:rPr>
        <w:t>二是</w:t>
      </w:r>
      <w:r>
        <w:rPr>
          <w:rFonts w:hint="eastAsia" w:ascii="仿宋_GB2312" w:hAnsi="仿宋_GB2312" w:eastAsia="仿宋_GB2312" w:cs="仿宋_GB2312"/>
          <w:color w:val="auto"/>
          <w:spacing w:val="0"/>
          <w:sz w:val="32"/>
          <w:szCs w:val="32"/>
          <w:highlight w:val="none"/>
        </w:rPr>
        <w:t>落实校长（园长）任职资格培训制度和持证上岗制度，大力开展提高培训和高端研修，提升校长（园长）办学治校能力，努力造就一支政治过硬、品德高尚、业务精湛、治校有方的校长（园长）队伍。</w:t>
      </w:r>
      <w:r>
        <w:rPr>
          <w:rFonts w:hint="eastAsia" w:ascii="仿宋_GB2312" w:hAnsi="仿宋_GB2312" w:eastAsia="仿宋_GB2312" w:cs="仿宋_GB2312"/>
          <w:color w:val="auto"/>
          <w:spacing w:val="0"/>
          <w:sz w:val="32"/>
          <w:szCs w:val="32"/>
          <w:highlight w:val="none"/>
          <w:lang w:eastAsia="zh-CN"/>
        </w:rPr>
        <w:t>三是</w:t>
      </w:r>
      <w:r>
        <w:rPr>
          <w:rFonts w:hint="eastAsia" w:ascii="仿宋_GB2312" w:hAnsi="仿宋_GB2312" w:eastAsia="仿宋_GB2312" w:cs="仿宋_GB2312"/>
          <w:color w:val="auto"/>
          <w:spacing w:val="0"/>
          <w:sz w:val="32"/>
          <w:szCs w:val="32"/>
          <w:highlight w:val="none"/>
        </w:rPr>
        <w:t>实施“名师培养工程”，对接省市特级教师评选、省级百千万工程以及市级名教师评选，力争构筑起具有市内乃至省内领先优势的“人才高地”。建立名师工作室长效机制，实行“导师制”，支持组建青年教师团队。用好名师效应，建设名师成长交流平台，组织开展名师论坛、教育沙龙、专题讲座活动，鼓励名师积极执教公开课、举办专题讲座等，适时编辑结集成名师文库。打造职业院校专业带头人、名教师专业发展平台，充分发挥专业带头人、名教师示范引领作用。加大教育高层次人才引进力度，多渠道、多方式引进市外名教师、名校长。</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hAnsi="仿宋_GB2312" w:eastAsia="仿宋_GB2312" w:cs="仿宋_GB2312"/>
          <w:b/>
          <w:bCs/>
          <w:color w:val="auto"/>
          <w:spacing w:val="0"/>
          <w:sz w:val="32"/>
          <w:szCs w:val="32"/>
          <w:highlight w:val="none"/>
        </w:rPr>
      </w:pPr>
      <w:r>
        <w:rPr>
          <w:rFonts w:hint="eastAsia" w:ascii="仿宋_GB2312" w:eastAsia="仿宋_GB2312"/>
          <w:b/>
          <w:bCs/>
          <w:color w:val="auto"/>
          <w:spacing w:val="0"/>
          <w:sz w:val="32"/>
          <w:szCs w:val="32"/>
          <w:highlight w:val="none"/>
        </w:rPr>
        <w:t>5.加强和改进继续教育工作，促进教师终身学习和专业发展。</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shd w:val="clear" w:color="auto" w:fill="FFFFFF"/>
        </w:rPr>
        <w:t>健全</w:t>
      </w:r>
      <w:r>
        <w:rPr>
          <w:rFonts w:hint="eastAsia" w:ascii="仿宋_GB2312" w:hAnsi="仿宋_GB2312" w:eastAsia="仿宋_GB2312" w:cs="仿宋_GB2312"/>
          <w:b/>
          <w:bCs/>
          <w:color w:val="auto"/>
          <w:spacing w:val="0"/>
          <w:sz w:val="32"/>
          <w:szCs w:val="32"/>
          <w:highlight w:val="none"/>
        </w:rPr>
        <w:t>教师培养培训体系，畅通教师职业发展通道，建立体系完备、结构合理、质量较高的教师发展支持服务体系。</w:t>
      </w:r>
      <w:r>
        <w:rPr>
          <w:rFonts w:hint="eastAsia" w:ascii="仿宋_GB2312" w:hAnsi="仿宋_GB2312" w:eastAsia="仿宋_GB2312" w:cs="仿宋_GB2312"/>
          <w:color w:val="auto"/>
          <w:spacing w:val="0"/>
          <w:sz w:val="32"/>
          <w:szCs w:val="32"/>
          <w:highlight w:val="none"/>
        </w:rPr>
        <w:t>转变培训方式，推动信息技术与教师培训的有机融合，实行线上线下相结合的混合式研修。改进培训内容，紧密结合教育教学一线实际，大力开展教师专项培训，提高教师教学水平和专业能力，切实提升教学水平。推行培训自主选学，实行培训学分管理。建立健全与学校整体发展、教师专业成长相统一的校本培训制度。严格落实中小学和幼儿园教师5年一周期全员培训制度，确保全市教师5年360学时培训任务完成率达到100%。加大乡村教师培训力度，着力提高乡村教师队伍整体水平。加大特殊教育教师和音乐、体育、美术、英语、信息技术等师资紧缺学科教师培训。加大幼儿园园长、乡村幼儿园教师、普惠性民办幼儿园教师的培训力度，创新幼儿园教师培训模式，依托高等学校和优质幼儿园，重点采取集中培训与跟岗实践相结合的方式培训幼儿园教师，切实提升幼儿园教师科学保教能力。</w:t>
      </w:r>
    </w:p>
    <w:p>
      <w:pPr>
        <w:pStyle w:val="11"/>
        <w:keepNext w:val="0"/>
        <w:keepLines w:val="0"/>
        <w:pageBreakBefore w:val="0"/>
        <w:widowControl/>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shd w:val="clear" w:color="auto" w:fill="FFFFFF"/>
        </w:rPr>
        <w:t>积极创新培训形式。</w:t>
      </w:r>
      <w:r>
        <w:rPr>
          <w:rFonts w:hint="eastAsia" w:ascii="仿宋_GB2312" w:hAnsi="仿宋_GB2312" w:eastAsia="仿宋_GB2312" w:cs="仿宋_GB2312"/>
          <w:color w:val="auto"/>
          <w:spacing w:val="0"/>
          <w:sz w:val="32"/>
          <w:szCs w:val="32"/>
          <w:highlight w:val="none"/>
        </w:rPr>
        <w:t>大力推动跟岗培训，采用现场教学观摩与网络研修培训结合、重点教学内容系统培训与新教材集中培训结合、常态校本研修与教师专业自主发展结合、学历教育与非学历教育结合，探索创新按需“点课”培训、“问题会诊”培训以及师范院校师生与中小学教师“同讲一堂课”培训等模式，强化基于课堂教学现场、走进真实课堂的培训环节，通过现场诊断和案例教学解决实际问题，采取情景式融入式体验式的培训方式改进教师教学行为，利用行动研究和反思实践提升教师教育经验，着力增强教师培训的针对性。支持教师、校长大胆探索，创新教育思想、教育模式、教育方法，形成教学特色和办学风格，营造教育家脱颖而出的制度环境。完善兼职教师培训制度，提高兼职教师队伍水平。推进职业院校教师定期到行业企业实践，每5年实践时间不少于6个月，不断提升实践教学能力。</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6.加强培训支持体系建设，建设北部教师培训中心。</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抓好教师发展中心建设，优化培训、教研、电教、科研等相关资源的整合；积极发挥职业院校教师培训基地的作用，采取“请进来”“走出去”“混合式”等灵活多样的培训模式；建立各级教师、校长培训专家库，积极开展培训者培训；实施北部地区教师“人才高地”计划；为推进教育教学改革，提升我市教育质量提供坚强有力的保障。</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7.实施高校协作计划，大力提升师资水平。</w:t>
      </w:r>
    </w:p>
    <w:p>
      <w:pPr>
        <w:keepNext w:val="0"/>
        <w:keepLines w:val="0"/>
        <w:pageBreakBefore w:val="0"/>
        <w:widowControl/>
        <w:kinsoku/>
        <w:wordWrap/>
        <w:overflowPunct/>
        <w:topLinePunct w:val="0"/>
        <w:autoSpaceDE/>
        <w:autoSpaceDN/>
        <w:bidi w:val="0"/>
        <w:adjustRightInd/>
        <w:spacing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充分利用高等院校人才聚集的优势，特别是借助</w:t>
      </w:r>
      <w:r>
        <w:rPr>
          <w:rFonts w:hint="eastAsia" w:ascii="仿宋_GB2312" w:hAnsi="仿宋_GB2312" w:eastAsia="仿宋_GB2312" w:cs="仿宋_GB2312"/>
          <w:color w:val="auto"/>
          <w:spacing w:val="0"/>
          <w:kern w:val="0"/>
          <w:sz w:val="32"/>
          <w:szCs w:val="32"/>
          <w:highlight w:val="none"/>
        </w:rPr>
        <w:t>高等学校与连州市结对帮扶的契机，</w:t>
      </w:r>
      <w:r>
        <w:rPr>
          <w:rFonts w:hint="eastAsia" w:ascii="仿宋_GB2312" w:hAnsi="仿宋_GB2312" w:eastAsia="仿宋_GB2312" w:cs="仿宋_GB2312"/>
          <w:color w:val="auto"/>
          <w:spacing w:val="0"/>
          <w:sz w:val="32"/>
          <w:szCs w:val="32"/>
          <w:highlight w:val="none"/>
        </w:rPr>
        <w:t>实施与省内外高校紧密合作提升师资水平的协作计划，与省内外高等院校合作举办教师培训，对连州的校长（园长）、教师、教研员全面开展多层次多方面的培训，整体提升连州学校校长（园长）教育、管理能力、教师的教育教学能力和教研员的教研科研能力。</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22" w:name="_Toc124060261"/>
      <w:r>
        <w:rPr>
          <w:rFonts w:hint="eastAsia" w:ascii="黑体" w:hAnsi="黑体" w:eastAsia="黑体" w:cs="黑体"/>
          <w:color w:val="auto"/>
          <w:spacing w:val="0"/>
          <w:sz w:val="32"/>
          <w:szCs w:val="32"/>
          <w:highlight w:val="none"/>
        </w:rPr>
        <w:t>第七节  实施科研促教战略，提高教育教学质量</w:t>
      </w:r>
      <w:bookmarkEnd w:id="22"/>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1.明确教育科研方向，提高科研促教的水平。</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树立科学的教育质量观，发挥教研科研促进教育教学的作用，服务学校教育教学，服务教师专业成长，服务学生全面发展，服务教育管理决策，为落实立德树人根本任务、发展素质教育、构建德智体美劳全面培养的教育体系提供强有力的专业支撑和智力支持。</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服务学校教育教学。</w:t>
      </w:r>
      <w:r>
        <w:rPr>
          <w:rFonts w:hint="eastAsia" w:ascii="仿宋_GB2312" w:hAnsi="仿宋_GB2312" w:eastAsia="仿宋_GB2312" w:cs="仿宋_GB2312"/>
          <w:color w:val="auto"/>
          <w:spacing w:val="0"/>
          <w:sz w:val="32"/>
          <w:szCs w:val="32"/>
          <w:highlight w:val="none"/>
        </w:rPr>
        <w:t>紧扣“五育”并举重要改革发展任务，引导学校从片面应试教育转向发展素质教育，落实课程育人、文化育人、实践育人、管理育人。加强国家课程研究，优化课程体系，丰富发展优质课程教学资源，不断提高教学诊断与改进水平。指导幼儿园科学保教、特殊教育融合发展。</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服务教师专业成长。</w:t>
      </w:r>
      <w:r>
        <w:rPr>
          <w:rFonts w:hint="eastAsia" w:ascii="仿宋_GB2312" w:hAnsi="仿宋_GB2312" w:eastAsia="仿宋_GB2312" w:cs="仿宋_GB2312"/>
          <w:color w:val="auto"/>
          <w:spacing w:val="0"/>
          <w:sz w:val="32"/>
          <w:szCs w:val="32"/>
          <w:highlight w:val="none"/>
        </w:rPr>
        <w:t>着重在改进教学方式、提高教书育人能力上下功夫，指导教师切实更新教育观念，全面理解学科课程标准，切实把握学生认知规律，融合传统方法与现代技术手段，组织学生开展研究型、项目化、合作式学习，注重家庭、学校、社区协同育人，提高教书育人效能。</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服务学生全面发展。</w:t>
      </w:r>
      <w:r>
        <w:rPr>
          <w:rFonts w:hint="eastAsia" w:ascii="仿宋_GB2312" w:hAnsi="仿宋_GB2312" w:eastAsia="仿宋_GB2312" w:cs="仿宋_GB2312"/>
          <w:color w:val="auto"/>
          <w:spacing w:val="0"/>
          <w:sz w:val="32"/>
          <w:szCs w:val="32"/>
          <w:highlight w:val="none"/>
        </w:rPr>
        <w:t>着重在研究学生学习和成长规律、提高学生综合素质上下功夫，指导学校将德智体美劳全面培养的要求有机融入教育教学各方面全过程，强化对学生理想、心理、学业、生活、生涯规划等方面的指导。开展学生综合素质评价科学研究，针对思想品德、学业水平、身心健康、艺术素养、社会实践等，创新评价标准和方法，推动建立以发展素质教育为导向的科学评价体系，促进学生全面而有个性成长。</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服务教育管理决策。</w:t>
      </w:r>
      <w:r>
        <w:rPr>
          <w:rFonts w:hint="eastAsia" w:ascii="仿宋_GB2312" w:hAnsi="仿宋_GB2312" w:eastAsia="仿宋_GB2312" w:cs="仿宋_GB2312"/>
          <w:color w:val="auto"/>
          <w:spacing w:val="0"/>
          <w:sz w:val="32"/>
          <w:szCs w:val="32"/>
          <w:highlight w:val="none"/>
        </w:rPr>
        <w:t>积极参与教育改革发展规划、政策和标准规范的研究、制定、实施、评估等工作，定期开展教育教学专题调研，及时反映需要引起重视的教情、学情变化，按照国家有关规定，协助和配合做好教育教学质量和办学水平监测分析工作，为教育管理决策提供参考，为学校改革发展提供建议。</w:t>
      </w:r>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2.完善科研促教机制，引领教学改革发展。</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学校要充分发挥校本教研作用，强化教研组织建设，充分发挥教研组、备课组、年级组作用，围绕课程实施、教法改进、作业优化、家校共育等开展经常性教研活动。加强主题教研、问题教研、联片教研、网络教研，围绕教育教学重点、热点、难点开展常规教研和专题教研。经常性开展聚焦课堂教学质量的教研活动，培育、遴选和推广优秀教学模式、教学案例，打造一批新课程新教材实施示范校、示范区，发挥引领带动作用。</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建立健全基层教研联系机制。</w:t>
      </w:r>
      <w:r>
        <w:rPr>
          <w:rFonts w:hint="eastAsia" w:ascii="仿宋_GB2312" w:hAnsi="仿宋_GB2312" w:eastAsia="仿宋_GB2312" w:cs="仿宋_GB2312"/>
          <w:color w:val="auto"/>
          <w:spacing w:val="0"/>
          <w:sz w:val="32"/>
          <w:szCs w:val="32"/>
          <w:highlight w:val="none"/>
        </w:rPr>
        <w:t>建立教研员乡村学校、薄弱学校联系点制度，组织教研员深入农村、民族、边远学校及薄弱学校持续开展教学指导，帮助推进教学</w:t>
      </w:r>
      <w:bookmarkStart w:id="49" w:name="_GoBack"/>
      <w:bookmarkEnd w:id="49"/>
      <w:r>
        <w:rPr>
          <w:rFonts w:hint="eastAsia" w:ascii="仿宋_GB2312" w:hAnsi="仿宋_GB2312" w:eastAsia="仿宋_GB2312" w:cs="仿宋_GB2312"/>
          <w:color w:val="auto"/>
          <w:spacing w:val="0"/>
          <w:sz w:val="32"/>
          <w:szCs w:val="32"/>
          <w:highlight w:val="none"/>
        </w:rPr>
        <w:t>改革与创新，提升教师教学水平和教研能力，提高教育教学质量。</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健全教学视导机制。</w:t>
      </w:r>
      <w:r>
        <w:rPr>
          <w:rFonts w:hint="eastAsia" w:ascii="仿宋_GB2312" w:hAnsi="仿宋_GB2312" w:eastAsia="仿宋_GB2312" w:cs="仿宋_GB2312"/>
          <w:b w:val="0"/>
          <w:bCs w:val="0"/>
          <w:color w:val="auto"/>
          <w:spacing w:val="0"/>
          <w:sz w:val="32"/>
          <w:szCs w:val="32"/>
          <w:highlight w:val="none"/>
        </w:rPr>
        <w:t>市</w:t>
      </w:r>
      <w:r>
        <w:rPr>
          <w:rFonts w:hint="eastAsia" w:ascii="仿宋_GB2312" w:hAnsi="仿宋_GB2312" w:eastAsia="仿宋_GB2312" w:cs="仿宋_GB2312"/>
          <w:color w:val="auto"/>
          <w:spacing w:val="0"/>
          <w:sz w:val="32"/>
          <w:szCs w:val="32"/>
          <w:highlight w:val="none"/>
        </w:rPr>
        <w:t>教研机构结合实际开展经常性教学视导，走进学校、深入课堂，走近教师、关注学生，了解教学动态、诊断教学问题，指导加强校本教研、改进教学方式，推动破解制约教育教学优质均衡发展的矛盾和困难问题。</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建立</w:t>
      </w:r>
      <w:r>
        <w:rPr>
          <w:rFonts w:hint="eastAsia" w:ascii="仿宋_GB2312" w:hAnsi="仿宋_GB2312" w:eastAsia="仿宋_GB2312" w:cs="仿宋_GB2312"/>
          <w:b/>
          <w:bCs/>
          <w:color w:val="auto"/>
          <w:spacing w:val="0"/>
          <w:sz w:val="32"/>
          <w:szCs w:val="32"/>
          <w:highlight w:val="none"/>
          <w:lang w:eastAsia="zh-CN"/>
        </w:rPr>
        <w:t>十二</w:t>
      </w:r>
      <w:r>
        <w:rPr>
          <w:rFonts w:hint="eastAsia" w:ascii="仿宋_GB2312" w:hAnsi="仿宋_GB2312" w:eastAsia="仿宋_GB2312" w:cs="仿宋_GB2312"/>
          <w:b/>
          <w:bCs/>
          <w:color w:val="auto"/>
          <w:spacing w:val="0"/>
          <w:sz w:val="32"/>
          <w:szCs w:val="32"/>
          <w:highlight w:val="none"/>
        </w:rPr>
        <w:t>年学科备考衔接机制。</w:t>
      </w:r>
      <w:r>
        <w:rPr>
          <w:rFonts w:hint="eastAsia" w:ascii="仿宋_GB2312" w:hAnsi="仿宋_GB2312" w:eastAsia="仿宋_GB2312" w:cs="仿宋_GB2312"/>
          <w:color w:val="auto"/>
          <w:spacing w:val="0"/>
          <w:sz w:val="32"/>
          <w:szCs w:val="32"/>
          <w:highlight w:val="none"/>
        </w:rPr>
        <w:t>要重视基础教育的学科衔接和学科配合的研究。市教研机构要积极开展全学科教研，构建新的知识体系；组织近学科教学研讨，努力寻找衔接点；注重良好的学习习惯从小学培养，寻求优秀适当的学习方法；积极开发校本教材，对学生开展菜单式学习。提升连州市新中考、新高考成绩。</w:t>
      </w:r>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3.深化课程及教学领域的研究，力促教学质量提升。</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深化基础教育课程改革。</w:t>
      </w:r>
      <w:r>
        <w:rPr>
          <w:rFonts w:hint="eastAsia" w:ascii="仿宋_GB2312" w:hAnsi="仿宋_GB2312" w:eastAsia="仿宋_GB2312" w:cs="仿宋_GB2312"/>
          <w:color w:val="auto"/>
          <w:spacing w:val="0"/>
          <w:sz w:val="32"/>
          <w:szCs w:val="32"/>
          <w:highlight w:val="none"/>
        </w:rPr>
        <w:t>立足课程改革教学、提高教育教学质量，紧扣“五育”并举重要改革发展任务，加强课程、教材、教学、作业、考试评价等关键领域、重点环节研究，促进学校落实课程育人、文化育人、实践育人、管理育人。引导教师切实更新教育观念，研究学生学习和成长规律，全面理解学科课程标准，切实把握学生认知规律，运用启发式、互动式、探究式、体验式等教学方式，融合传统方法与现代技术手段，组织学生开展研究型、项目化、合作式学习，注重以评价促发展，注重多学科的综合与拓展，关注学生“全人”发展，注重家庭、学校、社区协同育人，提高教书育人效能，提高学生综合素质。完善教学常规管理制度，实现教学管理科学化，教学行为规范化，教学过程精细化。构建符合课程改革要求的全学科、全课型的教学模式，完成所有年级、所有学科“教与学整合设计”的编写推广。研究学生课业负担与教学质量的平衡点，实施作业考试化、作业弹性化、把自习归还学生。到2025年，基本实现课堂教学高效、校际发展均衡、课业率先减负的目标。</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开展学生综合素质评价科学研究</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针对思想品德、学业水平、身心健康、艺术素养、社会实践等</w:t>
      </w:r>
      <w:r>
        <w:rPr>
          <w:rFonts w:hint="eastAsia" w:ascii="仿宋_GB2312" w:hAnsi="仿宋_GB2312" w:eastAsia="仿宋_GB2312" w:cs="仿宋_GB2312"/>
          <w:color w:val="auto"/>
          <w:spacing w:val="0"/>
          <w:sz w:val="32"/>
          <w:szCs w:val="32"/>
          <w:highlight w:val="none"/>
          <w:lang w:eastAsia="zh-CN"/>
        </w:rPr>
        <w:t>方面</w:t>
      </w:r>
      <w:r>
        <w:rPr>
          <w:rFonts w:hint="eastAsia" w:ascii="仿宋_GB2312" w:hAnsi="仿宋_GB2312" w:eastAsia="仿宋_GB2312" w:cs="仿宋_GB2312"/>
          <w:color w:val="auto"/>
          <w:spacing w:val="0"/>
          <w:sz w:val="32"/>
          <w:szCs w:val="32"/>
          <w:highlight w:val="none"/>
        </w:rPr>
        <w:t>，创新评价标准和方法，推动建立以发展素质教育为导向的科学评价体系，促进学生全面而有个性成长。</w:t>
      </w:r>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4.加强教师发展中心建设，引领教研队伍成长。</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完善连州市教师发展中心设置，健全教研职能职责。</w:t>
      </w:r>
      <w:r>
        <w:rPr>
          <w:rFonts w:hint="eastAsia" w:ascii="仿宋_GB2312" w:hAnsi="仿宋_GB2312" w:eastAsia="仿宋_GB2312" w:cs="仿宋_GB2312"/>
          <w:color w:val="auto"/>
          <w:spacing w:val="0"/>
          <w:sz w:val="32"/>
          <w:szCs w:val="32"/>
          <w:highlight w:val="none"/>
        </w:rPr>
        <w:t>要紧紧围绕培养担当民族复兴大任的时代新人这一目标，推进课程改革，指导教学实践，促进教师发展，服务教育决策，切实履行落实国家课程方案、开发地方与校本课程、开展教学改革实验、组织教学研究、实施教学诊断与改进、建设课程教学资源、培育推广优秀教育教学成果、为教育管理决策提供服务等职责。</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加强教研员队伍建设，提高教研员指导、引领教育教学、课程改革和教师发展的能力。</w:t>
      </w:r>
      <w:r>
        <w:rPr>
          <w:rFonts w:hint="eastAsia" w:ascii="仿宋_GB2312" w:hAnsi="仿宋_GB2312" w:eastAsia="仿宋_GB2312" w:cs="仿宋_GB2312"/>
          <w:color w:val="auto"/>
          <w:spacing w:val="0"/>
          <w:sz w:val="32"/>
          <w:szCs w:val="32"/>
          <w:highlight w:val="none"/>
        </w:rPr>
        <w:t>配齐配强教研员。按照国家课程方案配齐配强各学科专职教研员，按学段配齐配强所有学科（含学前教育、特殊教育、心理健康教育等专门教育）专职教研员，在中小学或其他相关机构聘请若干名合资格合条件的特约教研员或兼职教研员，聘请优秀教师、副校长、校长到教研机构担任专职或兼职教研员。形成专兼结合的高素质</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专业化</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创新型教研队伍。强化关键能力。着重提升教学实践能力，切实提升教科研能力，鼓励教研员组建团队深入研究，加快培育优秀教育教学、教研成果。不断提升教育信息化应用能力，推动教研员引领信息技术与教育教学、教学研究、教育服务深度融合。以教研员专项研修和课标、教材培训为抓手，扩展研修平台，丰富研修资源，确保每位教研员每年接受培训累计不少于90学时。支持教研员参加国内外教研交流与合作。加强学前教育教研队伍建设，按要求配备专职教研员，建立健全学前教育教研指导责任区制度，健全学前教育教研网络，引导幼儿园建立教研机制，使广大幼儿教师在园本研训中实现专业成长。</w:t>
      </w:r>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5.创新教研实践样态，丰富教研成果。</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构建智慧教研新方式</w:t>
      </w:r>
      <w:r>
        <w:rPr>
          <w:rFonts w:hint="eastAsia" w:ascii="仿宋_GB2312" w:hAnsi="仿宋_GB2312" w:eastAsia="仿宋_GB2312" w:cs="仿宋_GB2312"/>
          <w:b/>
          <w:bCs/>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积极利用移动互联网、大数据、云计算、人工智能等现代技术，着力推动教研主体融合、教研内容创新、教研路径优化、教研方法升级。常态化开展网络教研活动，广泛传播先进教学理念和有效教学方法，分享优质教学资源。建设教育教学大数据平台和教与学诊断系统，加强数据研究和应用，推进教与学深度研究和困难问题精准解决。</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全面提升教研水平。</w:t>
      </w:r>
      <w:r>
        <w:rPr>
          <w:rFonts w:hint="eastAsia" w:ascii="仿宋_GB2312" w:hAnsi="仿宋_GB2312" w:eastAsia="仿宋_GB2312" w:cs="仿宋_GB2312"/>
          <w:color w:val="auto"/>
          <w:spacing w:val="0"/>
          <w:sz w:val="32"/>
          <w:szCs w:val="32"/>
          <w:highlight w:val="none"/>
        </w:rPr>
        <w:t>开展校本教研、教学基本功大赛、“跟踪培训”、“课堂诊断-行为跟进”、“课、研、训一体化”等教研活动，加大教师培训力度，开展开放式的区域（片区）教研，实现市域教师专业水平的均衡发展。实施“名师培养工程”，通过加大投入、改革体制、优化氛围、提供平台等系列举措，营造利于引进和培养名师的整体环境，对接省市特级教师评选、省级百千万工程以及市级名教师评选，力争构筑起具有市内乃至省内领先优势的“人才高地”。建立教师工作室、名师工作室长效机制，实行“导师制”，支持组建青年教师团队。用好名师效应，建设名师成长交流平台，组织开展名师论坛、教育沙龙、专题讲座活动，鼓励名师积极执教公开课、举办专题讲座等，适时编辑结集成名师文库。加强教育科研课题管理工作，引导学校重视科研课题的开展及科研成果申报。</w:t>
      </w:r>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6.实施构建北部教科研基地计划，构建教研开放合作新格局。</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深化连州市教师发展中心与中小学（幼儿园）密切合作</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与中小学（幼儿园）建立紧密合作关系，与一线教师共同深化课程改革，研究课标与教材实施，创新教学思想、教学方式、教学方法，总结课程教学改革经验，培育和推广优秀教育教学成果。教师发展中心和各学校（幼儿园）要积极和高校教科研机构紧密合作，与相关高校特别是师范类院校教科研机构在理论引领、经验提炼、成果整合上建立紧密协作关系，同时注重与教育信息技术科研院所、行业企业合作，形成更广泛合作开展教育教学研究的格局。</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提升区域、城乡、学校之间教研协作力度。</w:t>
      </w:r>
      <w:r>
        <w:rPr>
          <w:rFonts w:hint="eastAsia" w:ascii="仿宋_GB2312" w:hAnsi="仿宋_GB2312" w:eastAsia="仿宋_GB2312" w:cs="仿宋_GB2312"/>
          <w:color w:val="auto"/>
          <w:spacing w:val="0"/>
          <w:sz w:val="32"/>
          <w:szCs w:val="32"/>
          <w:highlight w:val="none"/>
        </w:rPr>
        <w:t>建立跨区域、跨学校、跨学科、跨学段开展教研活动，推动城镇学校对口乡村学校、强校对口薄弱学校教学、教研协作，积极开展清远</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三连</w:t>
      </w:r>
      <w:r>
        <w:rPr>
          <w:rFonts w:hint="eastAsia" w:ascii="仿宋_GB2312" w:hAnsi="仿宋_GB2312" w:eastAsia="仿宋_GB2312" w:cs="仿宋_GB2312"/>
          <w:color w:val="auto"/>
          <w:spacing w:val="0"/>
          <w:sz w:val="32"/>
          <w:szCs w:val="32"/>
          <w:highlight w:val="none"/>
          <w:lang w:eastAsia="zh-CN"/>
        </w:rPr>
        <w:t>一阳”</w:t>
      </w:r>
      <w:r>
        <w:rPr>
          <w:rFonts w:hint="eastAsia" w:ascii="仿宋_GB2312" w:hAnsi="仿宋_GB2312" w:eastAsia="仿宋_GB2312" w:cs="仿宋_GB2312"/>
          <w:color w:val="auto"/>
          <w:spacing w:val="0"/>
          <w:sz w:val="32"/>
          <w:szCs w:val="32"/>
          <w:highlight w:val="none"/>
        </w:rPr>
        <w:t>地区开展教学、教研协作，围绕教育教学改革发展重点、热点、难点问题联合开展研究与实践，推动基础教育课程改革交流、教材学术探讨、教学方法研究，开展同课异构、优质课展示、名师工作室交流、教学成果互学互鉴等高质量教研活动，共育名师、共享成果、共同进步。</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23" w:name="_Toc124060262"/>
      <w:r>
        <w:rPr>
          <w:rFonts w:hint="eastAsia" w:ascii="黑体" w:hAnsi="黑体" w:eastAsia="黑体" w:cs="黑体"/>
          <w:color w:val="auto"/>
          <w:spacing w:val="0"/>
          <w:sz w:val="32"/>
          <w:szCs w:val="32"/>
          <w:highlight w:val="none"/>
        </w:rPr>
        <w:t>第八节  提高教育信息化水平，实施教育“数字提速”</w:t>
      </w:r>
      <w:bookmarkEnd w:id="23"/>
    </w:p>
    <w:p>
      <w:pPr>
        <w:keepNext w:val="0"/>
        <w:keepLines w:val="0"/>
        <w:pageBreakBefore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bookmarkStart w:id="24" w:name="_Toc472603708"/>
      <w:r>
        <w:rPr>
          <w:rFonts w:hint="eastAsia" w:ascii="仿宋_GB2312" w:eastAsia="仿宋_GB2312"/>
          <w:b/>
          <w:bCs/>
          <w:color w:val="auto"/>
          <w:spacing w:val="0"/>
          <w:sz w:val="32"/>
          <w:szCs w:val="32"/>
          <w:highlight w:val="none"/>
        </w:rPr>
        <w:t>1.实施教育信息化2.0行动计划，支撑引领教育现代化。</w:t>
      </w:r>
    </w:p>
    <w:p>
      <w:pPr>
        <w:keepNext w:val="0"/>
        <w:keepLines w:val="0"/>
        <w:pageBreakBefore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适应人工智能、大数据、区块链等技术迅猛发展对人才需求和教育形态的变化，聚焦新时代对人才培养的新需求，积极推进“互联网+教育”，发展远程教育和智能教育，完善线上教育，将教育信息化作为教育系统性变革的内生变量，扩大优质教育资源覆盖面，加快缩</w:t>
      </w:r>
      <w:r>
        <w:rPr>
          <w:rFonts w:hint="eastAsia" w:ascii="仿宋_GB2312" w:hAnsi="仿宋_GB2312" w:eastAsia="仿宋_GB2312" w:cs="仿宋_GB2312"/>
          <w:color w:val="auto"/>
          <w:spacing w:val="0"/>
          <w:sz w:val="32"/>
          <w:szCs w:val="32"/>
          <w:highlight w:val="none"/>
          <w:lang w:eastAsia="zh-CN"/>
        </w:rPr>
        <w:t>小</w:t>
      </w:r>
      <w:r>
        <w:rPr>
          <w:rFonts w:hint="eastAsia" w:ascii="仿宋_GB2312" w:hAnsi="仿宋_GB2312" w:eastAsia="仿宋_GB2312" w:cs="仿宋_GB2312"/>
          <w:color w:val="auto"/>
          <w:spacing w:val="0"/>
          <w:sz w:val="32"/>
          <w:szCs w:val="32"/>
          <w:highlight w:val="none"/>
        </w:rPr>
        <w:t>与教育发达地区的</w:t>
      </w:r>
      <w:r>
        <w:rPr>
          <w:rFonts w:hint="eastAsia" w:ascii="仿宋_GB2312" w:hAnsi="仿宋_GB2312" w:eastAsia="仿宋_GB2312" w:cs="仿宋_GB2312"/>
          <w:color w:val="auto"/>
          <w:spacing w:val="0"/>
          <w:sz w:val="32"/>
          <w:szCs w:val="32"/>
          <w:highlight w:val="none"/>
          <w:lang w:eastAsia="zh-CN"/>
        </w:rPr>
        <w:t>差距</w:t>
      </w:r>
      <w:r>
        <w:rPr>
          <w:rFonts w:hint="eastAsia" w:ascii="仿宋_GB2312" w:hAnsi="仿宋_GB2312" w:eastAsia="仿宋_GB2312" w:cs="仿宋_GB2312"/>
          <w:color w:val="auto"/>
          <w:spacing w:val="0"/>
          <w:sz w:val="32"/>
          <w:szCs w:val="32"/>
          <w:highlight w:val="none"/>
        </w:rPr>
        <w:t>；支撑引领教育现代化发展，推动教育理念更新、模式变革、体系重构，推动教育信息化转段升级。</w:t>
      </w:r>
    </w:p>
    <w:p>
      <w:pPr>
        <w:pStyle w:val="11"/>
        <w:keepNext w:val="0"/>
        <w:keepLines w:val="0"/>
        <w:pageBreakBefore w:val="0"/>
        <w:widowControl/>
        <w:shd w:val="clear" w:color="auto" w:fill="FFFFFF"/>
        <w:kinsoku/>
        <w:wordWrap/>
        <w:overflowPunct/>
        <w:topLinePunct w:val="0"/>
        <w:bidi w:val="0"/>
        <w:adjustRightInd/>
        <w:snapToGrid w:val="0"/>
        <w:spacing w:beforeAutospacing="0" w:afterAutospacing="0"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val="0"/>
          <w:bCs w:val="0"/>
          <w:color w:val="auto"/>
          <w:spacing w:val="0"/>
          <w:sz w:val="32"/>
          <w:szCs w:val="32"/>
          <w:highlight w:val="none"/>
          <w:shd w:val="clear" w:color="auto" w:fill="FFFFFF"/>
        </w:rPr>
        <w:t>加强学生信息素养培育。</w:t>
      </w:r>
      <w:r>
        <w:rPr>
          <w:rFonts w:hint="eastAsia" w:ascii="仿宋_GB2312" w:hAnsi="仿宋_GB2312" w:eastAsia="仿宋_GB2312" w:cs="仿宋_GB2312"/>
          <w:color w:val="auto"/>
          <w:spacing w:val="0"/>
          <w:sz w:val="32"/>
          <w:szCs w:val="32"/>
          <w:highlight w:val="none"/>
          <w:shd w:val="clear" w:color="auto" w:fill="FFFFFF"/>
        </w:rPr>
        <w:t>加强学生课内外一体化的信息技术知识、技能、应用能力以及信息意识、信息伦理等方面的培育，将学生信息素养纳入学生综合素质评价。通过开展STEAM教育、创客教育、中小学电脑制作、小小科学家等活动，激发、巩固、提高学生热爱科学的兴趣，增强学生探索动手能力，全面提升学生信息素养。</w:t>
      </w:r>
    </w:p>
    <w:p>
      <w:pPr>
        <w:keepNext w:val="0"/>
        <w:keepLines w:val="0"/>
        <w:pageBreakBefore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2.实施教育信息化“一把手工程”，提高教育信息化推进力度。</w:t>
      </w:r>
    </w:p>
    <w:p>
      <w:pPr>
        <w:keepNext w:val="0"/>
        <w:keepLines w:val="0"/>
        <w:pageBreakBefore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要发挥校长在推进信息化中</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一把手</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的作用，校长要亲自抓好教育信息化的顶层设计、统筹规划，抓好信息化基础设施建设、信息化在教学中应用、信息化在教学管理中的应用、信息化在家校共建中的应用，抓好教师信息化意识的提升和信息化应用能力的培训，切实提升教师在教学应用信息化的能力，全面实现教育“数字提速”。</w:t>
      </w:r>
    </w:p>
    <w:p>
      <w:pPr>
        <w:keepNext w:val="0"/>
        <w:keepLines w:val="0"/>
        <w:pageBreakBefore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3.加强教育信息化基础设施建设，提高教育信息化</w:t>
      </w:r>
      <w:bookmarkEnd w:id="24"/>
      <w:r>
        <w:rPr>
          <w:rFonts w:hint="eastAsia" w:ascii="仿宋_GB2312" w:eastAsia="仿宋_GB2312"/>
          <w:b/>
          <w:bCs/>
          <w:color w:val="auto"/>
          <w:spacing w:val="0"/>
          <w:sz w:val="32"/>
          <w:szCs w:val="32"/>
          <w:highlight w:val="none"/>
        </w:rPr>
        <w:t>支撑能力。</w:t>
      </w:r>
    </w:p>
    <w:p>
      <w:pPr>
        <w:keepNext w:val="0"/>
        <w:keepLines w:val="0"/>
        <w:pageBreakBefore w:val="0"/>
        <w:kinsoku/>
        <w:wordWrap/>
        <w:overflowPunct/>
        <w:topLinePunct w:val="0"/>
        <w:autoSpaceDE w:val="0"/>
        <w:autoSpaceDN w:val="0"/>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要从教育管理、教学应用、质量分析、家校及社会互动等方面的需求进一步加大各类信息化平台建设，提高教育基础数据的“伴随式收集”能力和远程处理能力，形成覆盖连州市教育行政部门、各级各类学校和相关机构</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以及家长等范围的办事和教学网络，推动教学资源和教育管理数据的开放共享，利用系统和数据开展教育管理、决策支持、监测监管、评估评价以及远程教学与学习等，提升信息化支撑教育治理现代化的能力。继续完善“三通两平台”建设，完善多媒体教室、录播室、科学实验室等基础设施</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同时，与广东教育视频网、“粤教云”等平台对接，积极探索基于云计算、物联网等新技术和大数据系统的智能学习环境建设；利用5G、新一代信息技术，加快推进学校信息化教育教学设施建设，推进优质数字教育资源全覆盖，推进教育信息化融合创新示范“种子计划”与“粤教翔云”教育资源公共服务体系，推动创新实践共同体师生线上线下学与教的连接。利用MOOC、“粤教翔云”等方式，推进优质教育资源的共享。加强移动教学的开发和应用，建成处处能学、时时可学的信息化应用基础环境</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引导社会企业多方参与，打造智慧教育平台，为学校、师生、社会提供包括有偿服务在内的教育服务。</w:t>
      </w:r>
    </w:p>
    <w:p>
      <w:pPr>
        <w:keepNext w:val="0"/>
        <w:keepLines w:val="0"/>
        <w:pageBreakBefore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4.提高教师信息素养，强化教师信息技术应用能力，力促教育信息化成效的提升。</w:t>
      </w:r>
    </w:p>
    <w:p>
      <w:pPr>
        <w:keepNext w:val="0"/>
        <w:keepLines w:val="0"/>
        <w:pageBreakBefore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shd w:val="clear" w:color="auto" w:fill="FFFFFF"/>
        </w:rPr>
        <w:t>教师信息素养关乎教育教学质量的提升和教育改革发展的进程。在人机协同、跨界融合、共创分享的智能时代，我们应抓住机遇、直面挑战，大力提升教师信息素养，助力构建高质量的教育支撑体系，加快实现教育现代化。提高教师信息化设备的熟练操作能力、运用信息技术获取信息的能力、利用信息技术与课程整合的能力等，</w:t>
      </w:r>
      <w:r>
        <w:rPr>
          <w:rFonts w:hint="eastAsia" w:ascii="仿宋_GB2312" w:hAnsi="仿宋_GB2312" w:eastAsia="仿宋_GB2312" w:cs="仿宋_GB2312"/>
          <w:color w:val="auto"/>
          <w:spacing w:val="0"/>
          <w:sz w:val="32"/>
          <w:szCs w:val="32"/>
          <w:highlight w:val="none"/>
        </w:rPr>
        <w:t>应用信息技术进行教学设计、学情分析、方法指导和学业评价，推动教育信息化的发展。</w:t>
      </w:r>
      <w:r>
        <w:rPr>
          <w:rFonts w:hint="eastAsia" w:ascii="仿宋_GB2312" w:hAnsi="仿宋_GB2312" w:eastAsia="仿宋_GB2312" w:cs="仿宋_GB2312"/>
          <w:color w:val="auto"/>
          <w:spacing w:val="0"/>
          <w:sz w:val="32"/>
          <w:szCs w:val="32"/>
          <w:highlight w:val="none"/>
          <w:shd w:val="clear" w:color="auto" w:fill="FFFFFF"/>
        </w:rPr>
        <w:t>充分利用信息技术</w:t>
      </w:r>
      <w:r>
        <w:rPr>
          <w:rFonts w:hint="eastAsia" w:ascii="仿宋_GB2312" w:hAnsi="仿宋_GB2312" w:eastAsia="仿宋_GB2312" w:cs="仿宋_GB2312"/>
          <w:color w:val="auto"/>
          <w:spacing w:val="0"/>
          <w:sz w:val="32"/>
          <w:szCs w:val="32"/>
          <w:highlight w:val="none"/>
        </w:rPr>
        <w:t>营造多样的教学情</w:t>
      </w:r>
      <w:r>
        <w:rPr>
          <w:rFonts w:hint="eastAsia" w:ascii="仿宋_GB2312" w:hAnsi="仿宋_GB2312" w:eastAsia="仿宋_GB2312" w:cs="仿宋_GB2312"/>
          <w:color w:val="auto"/>
          <w:spacing w:val="0"/>
          <w:sz w:val="32"/>
          <w:szCs w:val="32"/>
          <w:highlight w:val="none"/>
          <w:lang w:eastAsia="zh-CN"/>
        </w:rPr>
        <w:t>境</w:t>
      </w:r>
      <w:r>
        <w:rPr>
          <w:rFonts w:hint="eastAsia" w:ascii="仿宋_GB2312" w:hAnsi="仿宋_GB2312" w:eastAsia="仿宋_GB2312" w:cs="仿宋_GB2312"/>
          <w:color w:val="auto"/>
          <w:spacing w:val="0"/>
          <w:sz w:val="32"/>
          <w:szCs w:val="32"/>
          <w:highlight w:val="none"/>
        </w:rPr>
        <w:t>、活跃学习气氛，</w:t>
      </w:r>
      <w:r>
        <w:rPr>
          <w:rFonts w:hint="eastAsia" w:ascii="仿宋_GB2312" w:hAnsi="仿宋_GB2312" w:eastAsia="仿宋_GB2312" w:cs="仿宋_GB2312"/>
          <w:color w:val="auto"/>
          <w:spacing w:val="0"/>
          <w:sz w:val="32"/>
          <w:szCs w:val="32"/>
          <w:highlight w:val="none"/>
          <w:shd w:val="clear" w:color="auto" w:fill="FFFFFF"/>
        </w:rPr>
        <w:t>有效地激发学生的学习兴趣，</w:t>
      </w:r>
      <w:r>
        <w:rPr>
          <w:rFonts w:hint="eastAsia" w:ascii="仿宋_GB2312" w:hAnsi="仿宋_GB2312" w:eastAsia="仿宋_GB2312" w:cs="仿宋_GB2312"/>
          <w:color w:val="auto"/>
          <w:spacing w:val="0"/>
          <w:sz w:val="32"/>
          <w:szCs w:val="32"/>
          <w:highlight w:val="none"/>
        </w:rPr>
        <w:t>开阔学生的视野，调动学生的学习积极性，推进学生素质教育。推动信息技术与教育教学深度融合和创新发展，摆脱传统的课堂教学的束缚，通过多样的教育教学手段来深入推进素质教育，实施有效教学，打造高效课堂。</w:t>
      </w:r>
      <w:r>
        <w:rPr>
          <w:rFonts w:hint="eastAsia" w:ascii="仿宋_GB2312" w:hAnsi="仿宋_GB2312" w:eastAsia="仿宋_GB2312" w:cs="仿宋_GB2312"/>
          <w:color w:val="auto"/>
          <w:spacing w:val="0"/>
          <w:sz w:val="32"/>
          <w:szCs w:val="32"/>
          <w:highlight w:val="none"/>
          <w:shd w:val="clear" w:color="auto" w:fill="FFFFFF"/>
        </w:rPr>
        <w:t>继续开展“一师一优课、一课一名师”活动，建立“中心学校带教学点”</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shd w:val="clear" w:color="auto" w:fill="FFFFFF"/>
        </w:rPr>
        <w:t>“一校带多校”教学</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shd w:val="clear" w:color="auto" w:fill="FFFFFF"/>
        </w:rPr>
        <w:t>“专递课堂”</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shd w:val="clear" w:color="auto" w:fill="FFFFFF"/>
        </w:rPr>
        <w:t>“名师课堂”</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shd w:val="clear" w:color="auto" w:fill="FFFFFF"/>
        </w:rPr>
        <w:t>“名校网络课堂”等多种模式，逐步形成强校带弱校、优秀教师带其他教师的制度化安排，普遍提高教师信息素养。指导教师有效利用网络学习空间和网络研修社区，协同开展在线教研、校本研修、工作坊研修等活动，构建线上线下相结合的教师专业发展终身学习服务体系。深入开展校长信息化领导力培训，全面提升基础教育学校管理者的信息素养。</w:t>
      </w:r>
    </w:p>
    <w:p>
      <w:pPr>
        <w:keepNext w:val="0"/>
        <w:keepLines w:val="0"/>
        <w:pageBreakBefore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要把信息技术能力与水平作为评选先进教师及教师任职、评聘和职务晋升的重要条件。要加强农村教师的信息技术培训，实现农村教学点教师信息技术全员培训。80%以上教师达到《中小学教师信息技术应用能力标准》，使用现代信息化教学的教师达到100%以上，教师信息技术与教育教学融合的水平显著提升，信息化对教育改革和发展的支撑与引领作用充分显现。</w:t>
      </w:r>
    </w:p>
    <w:p>
      <w:pPr>
        <w:keepNext w:val="0"/>
        <w:keepLines w:val="0"/>
        <w:pageBreakBefore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5.提升信息化管理应用水平，探索教育教学治理新模式。</w:t>
      </w:r>
    </w:p>
    <w:p>
      <w:pPr>
        <w:keepNext w:val="0"/>
        <w:keepLines w:val="0"/>
        <w:pageBreakBefore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探索信息时代教育治理新模式，利用信息技术实现教育管理业务的数字化改造，推进基于大数据的教育治理模式创新。进一步发挥连州市教学质量大数据精准分析系统的作用，提高教学质量检测能力，精确分析教学质量状况，不断诊断和改进存在问题，促进教学质量提高。利用大数据开展学校教学管理、学生学业质量、教师发展、教育水平监测和督导评估，对教育教学进行持续性改进，实现师生共治、家校共治、社会共育。</w:t>
      </w:r>
    </w:p>
    <w:p>
      <w:pPr>
        <w:keepNext w:val="0"/>
        <w:keepLines w:val="0"/>
        <w:pageBreakBefore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6.加强信息技术的教学应用，创新教育教学形态。</w:t>
      </w:r>
    </w:p>
    <w:p>
      <w:pPr>
        <w:keepNext w:val="0"/>
        <w:keepLines w:val="0"/>
        <w:pageBreakBefore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推动信息技术与教育教学融合创新。利用信息技术推进教学内容整合，积极利用信息技术促进教育教学的理念重塑、流程再造、模式重建、结构重组，深入推进信息技术环境下的教学改革，实现教学手段信息化、教学方式现代化。鼓励教师积极利用信息技术进行教学，转变教学方法，多渠道、多形式增加教学资源，丰富教学形式，提高教学效率。推进网络同步课程应用、通过在线课堂、同步课堂等形式，促进优质教学资源发挥辐射作用。组织师生信息类应用活动和竞赛，提升师生应用信息技术教学的兴趣和能力。利用信息技术分析、监控教育教学情况和质量，持续开展教</w:t>
      </w:r>
      <w:r>
        <w:rPr>
          <w:rFonts w:hint="eastAsia" w:ascii="仿宋_GB2312" w:hAnsi="仿宋_GB2312" w:eastAsia="仿宋_GB2312" w:cs="仿宋_GB2312"/>
          <w:color w:val="auto"/>
          <w:spacing w:val="0"/>
          <w:sz w:val="32"/>
          <w:szCs w:val="32"/>
          <w:highlight w:val="none"/>
          <w:lang w:eastAsia="zh-CN"/>
        </w:rPr>
        <w:t>育</w:t>
      </w:r>
      <w:r>
        <w:rPr>
          <w:rFonts w:hint="eastAsia" w:ascii="仿宋_GB2312" w:hAnsi="仿宋_GB2312" w:eastAsia="仿宋_GB2312" w:cs="仿宋_GB2312"/>
          <w:color w:val="auto"/>
          <w:spacing w:val="0"/>
          <w:sz w:val="32"/>
          <w:szCs w:val="32"/>
          <w:highlight w:val="none"/>
        </w:rPr>
        <w:t>质量</w:t>
      </w:r>
      <w:r>
        <w:rPr>
          <w:rFonts w:hint="eastAsia" w:ascii="仿宋_GB2312" w:hAnsi="仿宋_GB2312" w:eastAsia="仿宋_GB2312" w:cs="仿宋_GB2312"/>
          <w:color w:val="auto"/>
          <w:spacing w:val="0"/>
          <w:sz w:val="32"/>
          <w:szCs w:val="32"/>
          <w:highlight w:val="none"/>
          <w:lang w:eastAsia="zh-CN"/>
        </w:rPr>
        <w:t>监</w:t>
      </w:r>
      <w:r>
        <w:rPr>
          <w:rFonts w:hint="eastAsia" w:ascii="仿宋_GB2312" w:hAnsi="仿宋_GB2312" w:eastAsia="仿宋_GB2312" w:cs="仿宋_GB2312"/>
          <w:color w:val="auto"/>
          <w:spacing w:val="0"/>
          <w:sz w:val="32"/>
          <w:szCs w:val="32"/>
          <w:highlight w:val="none"/>
        </w:rPr>
        <w:t>测，促进教学质量的提升。</w:t>
      </w:r>
    </w:p>
    <w:p>
      <w:pPr>
        <w:keepNext w:val="0"/>
        <w:keepLines w:val="0"/>
        <w:pageBreakBefore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7.建立丰富多样的数字教育资源，提升信息化应用成效。</w:t>
      </w:r>
    </w:p>
    <w:p>
      <w:pPr>
        <w:keepNext w:val="0"/>
        <w:keepLines w:val="0"/>
        <w:pageBreakBefore w:val="0"/>
        <w:kinsoku/>
        <w:wordWrap/>
        <w:overflowPunct/>
        <w:topLinePunct w:val="0"/>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加强教学资源库建设，实现包括基础性资源、个性化资源和校本资源在内的各级各类教育资源的普遍共享，实现教学资源库课堂教学</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教学资源库应用的常态化、普遍化。开展“一师一优课、一课一名师”等活动，广泛开发各类教学资源、建立“专递课堂”、“名师课堂”、“名校网络课堂”、“中心学校带教学点”、“一校带多点、一校带多校”等多种信息化教学组织模式，逐步形成强校带弱校、优秀教师带其他教师的信息化教学局面。通过“名师伴我行”</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“视频同步课堂”</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“互动教研平台”</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“电子书包”实验等多种方式，提高教师信息技术应用能力和水平。鼓励社会企业多方参与教育信息化，提供多种教学服务，形成社会化的信息化教学新常态，推动建立广泛的多样化、个性化</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信息化学习系统，促进“人人皆学、处处能学、时时可学”的学习型社会建设。</w:t>
      </w:r>
    </w:p>
    <w:p>
      <w:pPr>
        <w:keepNext w:val="0"/>
        <w:keepLines w:val="0"/>
        <w:pageBreakBefore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开展互动教研平台应用，扩大教研互动空间，利用信息化平台推动</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三连</w:t>
      </w:r>
      <w:r>
        <w:rPr>
          <w:rFonts w:hint="eastAsia" w:ascii="仿宋_GB2312" w:hAnsi="仿宋_GB2312" w:eastAsia="仿宋_GB2312" w:cs="仿宋_GB2312"/>
          <w:color w:val="auto"/>
          <w:spacing w:val="0"/>
          <w:sz w:val="32"/>
          <w:szCs w:val="32"/>
          <w:highlight w:val="none"/>
          <w:lang w:eastAsia="zh-CN"/>
        </w:rPr>
        <w:t>一阳”</w:t>
      </w:r>
      <w:r>
        <w:rPr>
          <w:rFonts w:hint="eastAsia" w:ascii="仿宋_GB2312" w:hAnsi="仿宋_GB2312" w:eastAsia="仿宋_GB2312" w:cs="仿宋_GB2312"/>
          <w:color w:val="auto"/>
          <w:spacing w:val="0"/>
          <w:sz w:val="32"/>
          <w:szCs w:val="32"/>
          <w:highlight w:val="none"/>
        </w:rPr>
        <w:t>地区的教研活动和师资培训，助力将连州市打造成</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三连</w:t>
      </w:r>
      <w:r>
        <w:rPr>
          <w:rFonts w:hint="eastAsia" w:ascii="仿宋_GB2312" w:hAnsi="仿宋_GB2312" w:eastAsia="仿宋_GB2312" w:cs="仿宋_GB2312"/>
          <w:color w:val="auto"/>
          <w:spacing w:val="0"/>
          <w:sz w:val="32"/>
          <w:szCs w:val="32"/>
          <w:highlight w:val="none"/>
          <w:lang w:eastAsia="zh-CN"/>
        </w:rPr>
        <w:t>一阳”</w:t>
      </w:r>
      <w:r>
        <w:rPr>
          <w:rFonts w:hint="eastAsia" w:ascii="仿宋_GB2312" w:hAnsi="仿宋_GB2312" w:eastAsia="仿宋_GB2312" w:cs="仿宋_GB2312"/>
          <w:color w:val="auto"/>
          <w:spacing w:val="0"/>
          <w:sz w:val="32"/>
          <w:szCs w:val="32"/>
          <w:highlight w:val="none"/>
        </w:rPr>
        <w:t>地区的教研和师资培训中心。</w:t>
      </w:r>
    </w:p>
    <w:p>
      <w:pPr>
        <w:pageBreakBefore w:val="0"/>
        <w:kinsoku/>
        <w:overflowPunct/>
        <w:topLinePunct w:val="0"/>
        <w:bidi w:val="0"/>
        <w:snapToGrid w:val="0"/>
        <w:spacing w:before="0" w:beforeLines="0" w:after="0" w:afterLines="0" w:line="560" w:lineRule="exact"/>
        <w:ind w:firstLine="606" w:firstLineChars="200"/>
        <w:rPr>
          <w:rFonts w:ascii="仿宋_GB2312" w:hAnsi="仿宋_GB2312" w:eastAsia="仿宋_GB2312" w:cs="仿宋_GB2312"/>
          <w:color w:val="auto"/>
          <w:spacing w:val="0"/>
          <w:sz w:val="32"/>
          <w:szCs w:val="32"/>
          <w:highlight w:val="none"/>
        </w:rPr>
      </w:pPr>
    </w:p>
    <w:p>
      <w:pPr>
        <w:pStyle w:val="2"/>
        <w:pageBreakBefore w:val="0"/>
        <w:kinsoku/>
        <w:overflowPunct/>
        <w:topLinePunct w:val="0"/>
        <w:bidi w:val="0"/>
        <w:spacing w:before="292" w:after="292" w:line="560" w:lineRule="exact"/>
        <w:rPr>
          <w:rFonts w:hint="eastAsia" w:ascii="方正小标宋_GBK" w:hAnsi="方正小标宋_GBK" w:eastAsia="方正小标宋_GBK" w:cs="方正小标宋_GBK"/>
          <w:b/>
          <w:bCs/>
          <w:color w:val="auto"/>
          <w:spacing w:val="0"/>
          <w:highlight w:val="none"/>
        </w:rPr>
      </w:pPr>
      <w:bookmarkStart w:id="25" w:name="_Toc124060263"/>
      <w:bookmarkStart w:id="26" w:name="_Toc472603667"/>
      <w:bookmarkStart w:id="27" w:name="_Toc464551018"/>
      <w:r>
        <w:rPr>
          <w:rFonts w:hint="eastAsia" w:ascii="方正小标宋_GBK" w:hAnsi="方正小标宋_GBK" w:eastAsia="方正小标宋_GBK" w:cs="方正小标宋_GBK"/>
          <w:b/>
          <w:bCs/>
          <w:color w:val="auto"/>
          <w:spacing w:val="0"/>
          <w:highlight w:val="none"/>
        </w:rPr>
        <w:t>第五章  完善治理体系和提升治理能力，实现教育治理现代化</w:t>
      </w:r>
      <w:bookmarkEnd w:id="25"/>
      <w:bookmarkEnd w:id="26"/>
      <w:bookmarkEnd w:id="27"/>
    </w:p>
    <w:p>
      <w:pPr>
        <w:pStyle w:val="3"/>
        <w:pageBreakBefore w:val="0"/>
        <w:kinsoku/>
        <w:overflowPunct/>
        <w:topLinePunct w:val="0"/>
        <w:bidi w:val="0"/>
        <w:spacing w:before="292" w:after="292" w:line="560" w:lineRule="exact"/>
        <w:jc w:val="center"/>
        <w:rPr>
          <w:rFonts w:hint="eastAsia" w:ascii="黑体" w:hAnsi="黑体" w:eastAsia="黑体" w:cs="黑体"/>
          <w:color w:val="auto"/>
          <w:spacing w:val="0"/>
          <w:sz w:val="32"/>
          <w:szCs w:val="32"/>
          <w:highlight w:val="none"/>
        </w:rPr>
      </w:pPr>
      <w:bookmarkStart w:id="28" w:name="_Toc124060264"/>
      <w:bookmarkStart w:id="29" w:name="_Toc464551019"/>
      <w:bookmarkStart w:id="30" w:name="_Toc472603668"/>
      <w:r>
        <w:rPr>
          <w:rFonts w:hint="eastAsia" w:ascii="黑体" w:hAnsi="黑体" w:eastAsia="黑体" w:cs="黑体"/>
          <w:color w:val="auto"/>
          <w:spacing w:val="0"/>
          <w:sz w:val="32"/>
          <w:szCs w:val="32"/>
          <w:highlight w:val="none"/>
        </w:rPr>
        <w:t>第一节 加</w:t>
      </w:r>
      <w:r>
        <w:rPr>
          <w:rFonts w:hint="eastAsia" w:ascii="黑体" w:hAnsi="黑体" w:eastAsia="黑体" w:cs="黑体"/>
          <w:color w:val="auto"/>
          <w:spacing w:val="0"/>
          <w:sz w:val="32"/>
          <w:szCs w:val="32"/>
          <w:highlight w:val="none"/>
          <w:lang w:eastAsia="zh-CN"/>
        </w:rPr>
        <w:t>大</w:t>
      </w:r>
      <w:r>
        <w:rPr>
          <w:rFonts w:hint="eastAsia" w:ascii="黑体" w:hAnsi="黑体" w:eastAsia="黑体" w:cs="黑体"/>
          <w:color w:val="auto"/>
          <w:spacing w:val="0"/>
          <w:sz w:val="32"/>
          <w:szCs w:val="32"/>
          <w:highlight w:val="none"/>
        </w:rPr>
        <w:t>政府统筹力度，完善多元化治理格局</w:t>
      </w:r>
      <w:bookmarkEnd w:id="28"/>
      <w:bookmarkEnd w:id="29"/>
      <w:bookmarkEnd w:id="30"/>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进一步完善政府统筹教育发展、依法治理教育的教育管理体制，推进教育管办评分离，形成政府依法宏观管理、学校自主办学、社会广泛参与的多元化现代教育治理格局，进一步促进教育事业发展。政府着重加强教育发展规划、制定促进教育发展的相关政策及策略、保障公共教育基础性供给，发挥教育对经济社会发展的基础性、先导性和全局性作用，坚持优先发展教育。政府各相关部门根据职责分工，落实教育发展的相关工作，乡镇政府在教育发展中的统筹合力。要强化政府在教育发展的统领作用，加强公共教育资源的公平配置，提高公共教育服务均等化水平，加大教育投入，</w:t>
      </w:r>
      <w:r>
        <w:rPr>
          <w:rFonts w:hint="eastAsia" w:ascii="仿宋_GB2312" w:hAnsi="仿宋_GB2312" w:eastAsia="仿宋_GB2312" w:cs="仿宋_GB2312"/>
          <w:color w:val="auto"/>
          <w:spacing w:val="0"/>
          <w:sz w:val="32"/>
          <w:szCs w:val="32"/>
          <w:highlight w:val="none"/>
          <w:lang w:eastAsia="zh-CN"/>
        </w:rPr>
        <w:t>完善</w:t>
      </w:r>
      <w:r>
        <w:rPr>
          <w:rFonts w:hint="eastAsia" w:ascii="仿宋_GB2312" w:hAnsi="仿宋_GB2312" w:eastAsia="仿宋_GB2312" w:cs="仿宋_GB2312"/>
          <w:color w:val="auto"/>
          <w:spacing w:val="0"/>
          <w:sz w:val="32"/>
          <w:szCs w:val="32"/>
          <w:highlight w:val="none"/>
        </w:rPr>
        <w:t>教育基础设施，强化师资队伍建设，营造良好的教育发展环境。要加强现代化学校制度建设，学校依法自主办学，释放学校自主办学活力。按照中共中央、国务院印发《深化新时代教育评价改革总体方案》的精神，积极推进教育评价改革，改革党委和政府教育工作评价、学校评价、教师评价、学生评价、用人评价，提高教育评价的科学性、专业性、客观性，促进教育发展的评价办法多元化。</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31" w:name="_Toc124060265"/>
      <w:bookmarkStart w:id="32" w:name="_Toc472603669"/>
      <w:bookmarkStart w:id="33" w:name="_Toc464551020"/>
      <w:r>
        <w:rPr>
          <w:rFonts w:hint="eastAsia" w:ascii="黑体" w:hAnsi="黑体" w:eastAsia="黑体" w:cs="黑体"/>
          <w:color w:val="auto"/>
          <w:spacing w:val="0"/>
          <w:sz w:val="32"/>
          <w:szCs w:val="32"/>
          <w:highlight w:val="none"/>
        </w:rPr>
        <w:t>第二节 深化改革，促进教育可持续发展</w:t>
      </w:r>
      <w:bookmarkEnd w:id="31"/>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ascii="仿宋_GB2312" w:eastAsia="仿宋_GB2312"/>
          <w:b/>
          <w:bCs/>
          <w:color w:val="auto"/>
          <w:spacing w:val="0"/>
          <w:sz w:val="32"/>
          <w:szCs w:val="32"/>
          <w:highlight w:val="none"/>
        </w:rPr>
        <w:t>1</w:t>
      </w:r>
      <w:r>
        <w:rPr>
          <w:rFonts w:hint="eastAsia" w:ascii="仿宋_GB2312" w:eastAsia="仿宋_GB2312"/>
          <w:b/>
          <w:bCs/>
          <w:color w:val="auto"/>
          <w:spacing w:val="0"/>
          <w:sz w:val="32"/>
          <w:szCs w:val="32"/>
          <w:highlight w:val="none"/>
        </w:rPr>
        <w:t>.深化教育综合改革，提高教育创新发展水平。</w:t>
      </w:r>
    </w:p>
    <w:p>
      <w:pPr>
        <w:keepNext w:val="0"/>
        <w:keepLines w:val="0"/>
        <w:pageBreakBefore w:val="0"/>
        <w:widowControl w:val="0"/>
        <w:kinsoku/>
        <w:wordWrap/>
        <w:overflowPunct/>
        <w:topLinePunct w:val="0"/>
        <w:autoSpaceDE/>
        <w:autoSpaceDN/>
        <w:bidi w:val="0"/>
        <w:adjustRightInd/>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进一步深化教育各项改革，按照建设现代化教育体系和现代教育治理体系的要求，在教育投入、办学体制、学校管理、人事聘任、评价督导以及教育教学等领域积极改革创新，破除制约高质量发展障碍，提高资源配置效率。完善市级统筹、分级管理的教育管理体制，政府部门要深化“放管服”改革，加快推进职能转变，推进教育管办评分离。深化各级各类教育办学体制改革，高质量办好公办学校的同时，积极支持民办教育发展，鼓励外地名校到我市办学，形成政府统筹主导、行业企业支持配合、社会力量积极参与、公办民办共同发展的多元化办学格局。深化人才培养模式改革，构建综合人才评价体系。深化学校人事分配制度改革，激发教师队伍活力，为推进我市教育现代化建设提供坚强有力的师资保障。积极开展教育评价改革，改革学校评价，推进落实立德树人根本任务；改革教师评价，推进践行教书育人使命；改革学生评价，促进德智体美劳全面发展。</w:t>
      </w:r>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2.深化办学体制改革，推进民办教育健康发展。</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大力支持民办学校发展，鼓励和扶持办学条件好、管理水平高、效益好的民办学校上档次、上等级。组织对全市民办学校办学情况进行全面检查，对管理混乱，教育教学质量低下的民办学校加大规范管理力度或引导转型。</w:t>
      </w:r>
      <w:r>
        <w:rPr>
          <w:rFonts w:hint="eastAsia" w:ascii="仿宋_GB2312" w:hAnsi="仿宋_GB2312" w:eastAsia="仿宋_GB2312" w:cs="仿宋_GB2312"/>
          <w:color w:val="auto"/>
          <w:spacing w:val="0"/>
          <w:kern w:val="0"/>
          <w:sz w:val="32"/>
          <w:szCs w:val="32"/>
          <w:highlight w:val="none"/>
        </w:rPr>
        <w:t>建立公开透明规范的民办职业教育准入、审批制度，探索民办职业教育负面清单制度，建立健全退出机制。</w:t>
      </w:r>
      <w:r>
        <w:rPr>
          <w:rFonts w:hint="eastAsia" w:ascii="仿宋_GB2312" w:hAnsi="仿宋_GB2312" w:eastAsia="仿宋_GB2312" w:cs="仿宋_GB2312"/>
          <w:color w:val="auto"/>
          <w:spacing w:val="0"/>
          <w:sz w:val="32"/>
          <w:szCs w:val="32"/>
          <w:highlight w:val="none"/>
        </w:rPr>
        <w:t>积极引进名校到我市办学，提高民办教育办学水平。</w:t>
      </w:r>
      <w:r>
        <w:rPr>
          <w:rFonts w:hint="eastAsia" w:ascii="仿宋_GB2312" w:hAnsi="仿宋_GB2312" w:eastAsia="仿宋_GB2312" w:cs="仿宋_GB2312"/>
          <w:color w:val="auto"/>
          <w:spacing w:val="0"/>
          <w:kern w:val="0"/>
          <w:sz w:val="32"/>
          <w:szCs w:val="32"/>
          <w:highlight w:val="none"/>
        </w:rPr>
        <w:t>支持和规范社会力量兴办职业教育培训，鼓励发展股份制、混合所有制等职业院校和各类职业培训机构，鼓励有条件的企业特别是大企业举办高质量职业教育，政府可按规定给予适当支持，发挥企业办学主体作用。</w:t>
      </w:r>
    </w:p>
    <w:p>
      <w:pPr>
        <w:keepNext w:val="0"/>
        <w:keepLines w:val="0"/>
        <w:pageBreakBefore w:val="0"/>
        <w:widowControl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ascii="仿宋_GB2312" w:eastAsia="仿宋_GB2312"/>
          <w:b/>
          <w:bCs/>
          <w:color w:val="auto"/>
          <w:spacing w:val="0"/>
          <w:sz w:val="32"/>
          <w:szCs w:val="32"/>
          <w:highlight w:val="none"/>
        </w:rPr>
        <w:t>3</w:t>
      </w:r>
      <w:r>
        <w:rPr>
          <w:rFonts w:hint="eastAsia" w:ascii="仿宋_GB2312" w:eastAsia="仿宋_GB2312"/>
          <w:b/>
          <w:bCs/>
          <w:color w:val="auto"/>
          <w:spacing w:val="0"/>
          <w:sz w:val="32"/>
          <w:szCs w:val="32"/>
          <w:highlight w:val="none"/>
        </w:rPr>
        <w:t>.深化职业学校校企合作支持机制改革，提升职业教育服务能力。</w:t>
      </w:r>
    </w:p>
    <w:p>
      <w:pPr>
        <w:keepNext w:val="0"/>
        <w:keepLines w:val="0"/>
        <w:pageBreakBefore w:val="0"/>
        <w:widowControl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kern w:val="0"/>
          <w:sz w:val="32"/>
          <w:szCs w:val="32"/>
          <w:highlight w:val="none"/>
        </w:rPr>
        <w:t>职业院校应当根据自身特点和人才培养需要，主动与具备条件的企业在人才培养、技术创新、就业创业、社会服务、文化传承等方面开展合作。学校积极为企业提供所需的课程、师资等资源，企业应当依法履行实施职业教育的义务，利用资本、技术、知识、设施、设备和管理等要素参与校企合作，促进人力资源开发。校企合作中，学校可从中获得智力、专利、教育、劳务等报酬，具体分配由学校按规定自行处理。营造企业承担职业教育责任的社会环境，推动职业院校和行业企业形成命运共同体。</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34" w:name="_Toc124060266"/>
      <w:r>
        <w:rPr>
          <w:rFonts w:hint="eastAsia" w:ascii="黑体" w:hAnsi="黑体" w:eastAsia="黑体" w:cs="黑体"/>
          <w:color w:val="auto"/>
          <w:spacing w:val="0"/>
          <w:sz w:val="32"/>
          <w:szCs w:val="32"/>
          <w:highlight w:val="none"/>
        </w:rPr>
        <w:t>第三节 振兴乡村教育，发挥教育在乡村振兴的先行作用</w:t>
      </w:r>
      <w:bookmarkEnd w:id="34"/>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认真贯彻国家乡村振兴战略，以习近平总书记关于</w:t>
      </w:r>
      <w:r>
        <w:rPr>
          <w:rFonts w:hint="eastAsia" w:ascii="仿宋_GB2312" w:hAnsi="仿宋_GB2312" w:eastAsia="仿宋_GB2312" w:cs="仿宋_GB2312"/>
          <w:color w:val="auto"/>
          <w:spacing w:val="0"/>
          <w:sz w:val="32"/>
          <w:szCs w:val="32"/>
          <w:highlight w:val="none"/>
          <w:lang w:eastAsia="zh-CN"/>
        </w:rPr>
        <w:t>乡村振兴</w:t>
      </w:r>
      <w:r>
        <w:rPr>
          <w:rFonts w:hint="eastAsia" w:ascii="仿宋_GB2312" w:hAnsi="仿宋_GB2312" w:eastAsia="仿宋_GB2312" w:cs="仿宋_GB2312"/>
          <w:color w:val="auto"/>
          <w:spacing w:val="0"/>
          <w:sz w:val="32"/>
          <w:szCs w:val="32"/>
          <w:highlight w:val="none"/>
        </w:rPr>
        <w:t>工作的重要论述为指导，贯彻中共中央、国务院《关于实现巩固拓展脱贫攻坚成果同乡村振兴有效衔接的意见》精神</w:t>
      </w:r>
      <w:r>
        <w:rPr>
          <w:color w:val="auto"/>
          <w:spacing w:val="0"/>
          <w:highlight w:val="none"/>
        </w:rPr>
        <w:fldChar w:fldCharType="begin"/>
      </w:r>
      <w:r>
        <w:rPr>
          <w:color w:val="auto"/>
          <w:spacing w:val="0"/>
          <w:highlight w:val="none"/>
        </w:rPr>
        <w:instrText xml:space="preserve"> HYPERLINK "http://www.xinhuanet.com/mrdx/2021-03/23/javascript:window.print()" </w:instrText>
      </w:r>
      <w:r>
        <w:rPr>
          <w:color w:val="auto"/>
          <w:spacing w:val="0"/>
          <w:highlight w:val="none"/>
        </w:rPr>
        <w:fldChar w:fldCharType="separate"/>
      </w:r>
      <w:r>
        <w:rPr>
          <w:color w:val="auto"/>
          <w:spacing w:val="0"/>
          <w:highlight w:val="none"/>
        </w:rPr>
        <w:fldChar w:fldCharType="end"/>
      </w:r>
      <w:r>
        <w:rPr>
          <w:color w:val="auto"/>
          <w:spacing w:val="0"/>
          <w:highlight w:val="none"/>
        </w:rPr>
        <w:fldChar w:fldCharType="begin"/>
      </w:r>
      <w:r>
        <w:rPr>
          <w:color w:val="auto"/>
          <w:spacing w:val="0"/>
          <w:highlight w:val="none"/>
        </w:rPr>
        <w:instrText xml:space="preserve"> HYPERLINK "http://www.xinhuanet.com/mrdx/2021-03/23/javascript:void(0)" </w:instrText>
      </w:r>
      <w:r>
        <w:rPr>
          <w:color w:val="auto"/>
          <w:spacing w:val="0"/>
          <w:highlight w:val="none"/>
        </w:rPr>
        <w:fldChar w:fldCharType="separate"/>
      </w:r>
      <w:r>
        <w:rPr>
          <w:color w:val="auto"/>
          <w:spacing w:val="0"/>
          <w:highlight w:val="none"/>
        </w:rPr>
        <w:fldChar w:fldCharType="end"/>
      </w:r>
      <w:r>
        <w:rPr>
          <w:color w:val="auto"/>
          <w:spacing w:val="0"/>
          <w:highlight w:val="none"/>
        </w:rPr>
        <w:fldChar w:fldCharType="begin"/>
      </w:r>
      <w:r>
        <w:rPr>
          <w:color w:val="auto"/>
          <w:spacing w:val="0"/>
          <w:highlight w:val="none"/>
        </w:rPr>
        <w:instrText xml:space="preserve"> HYPERLINK "http://www.xinhuanet.com/mrdx/2021-03/23/javascript:void(0)" </w:instrText>
      </w:r>
      <w:r>
        <w:rPr>
          <w:color w:val="auto"/>
          <w:spacing w:val="0"/>
          <w:highlight w:val="none"/>
        </w:rPr>
        <w:fldChar w:fldCharType="separate"/>
      </w:r>
      <w:r>
        <w:rPr>
          <w:color w:val="auto"/>
          <w:spacing w:val="0"/>
          <w:highlight w:val="none"/>
        </w:rPr>
        <w:fldChar w:fldCharType="end"/>
      </w:r>
      <w:r>
        <w:rPr>
          <w:rFonts w:hint="eastAsia" w:ascii="仿宋_GB2312" w:hAnsi="仿宋_GB2312" w:eastAsia="仿宋_GB2312" w:cs="仿宋_GB2312"/>
          <w:color w:val="auto"/>
          <w:spacing w:val="0"/>
          <w:sz w:val="32"/>
          <w:szCs w:val="32"/>
          <w:highlight w:val="none"/>
        </w:rPr>
        <w:t>，在打赢脱贫攻坚战、全面建成小康社会后，要进一步巩固拓展教育脱贫攻坚成果，坚持振兴乡村教育先行的战略，大力振兴乡村教育，实现教育振兴乡村，推动</w:t>
      </w:r>
      <w:r>
        <w:rPr>
          <w:rFonts w:hint="eastAsia" w:ascii="仿宋_GB2312" w:hAnsi="仿宋_GB2312" w:eastAsia="仿宋_GB2312" w:cs="仿宋_GB2312"/>
          <w:color w:val="auto"/>
          <w:spacing w:val="0"/>
          <w:sz w:val="32"/>
          <w:szCs w:val="32"/>
          <w:highlight w:val="none"/>
          <w:lang w:eastAsia="zh-CN"/>
        </w:rPr>
        <w:t>城乡一体化</w:t>
      </w:r>
      <w:r>
        <w:rPr>
          <w:rFonts w:hint="eastAsia" w:ascii="仿宋_GB2312" w:hAnsi="仿宋_GB2312" w:eastAsia="仿宋_GB2312" w:cs="仿宋_GB2312"/>
          <w:color w:val="auto"/>
          <w:spacing w:val="0"/>
          <w:sz w:val="32"/>
          <w:szCs w:val="32"/>
          <w:highlight w:val="none"/>
        </w:rPr>
        <w:t>发展和乡村全面振兴。</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在巩固拓展教育脱贫攻坚成果的基础上，进一步推进乡村教育一体化发展，更加重视教育公平，加快乡村教育向优质均衡迈进，提高教育为农村发展培养适用人才的服务能力，高质量培养乡村人才，促进农村地区的产业发展。加大乡村教育统筹力度，教育主管部门与各相关部门加强协调推进，确定乡村教育振兴的重点和主攻目标，形成教育先行发展合力，加大乡村教育投入，加快实现乡村教育现代化。以促进乡村义务教育优质均衡发展为重点，紧抓办学条件改善和提高师资队伍素质两个关键环节，积极对接教育部的乡村教师培训计划和准备启动实施的“国家级优秀农村教师定向培养计划”以及健全连州市加强乡村学校教师队伍建设的各项措施，提高乡村学校教师整体素质，补短板，强弱项，创特色，增优势，提升连州市乡村学校办学水平</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加大乡村学校信息化水平，提高乡村学校信息化水平，通过信息技术共享优质教育资源、丰富教育手段、提升乡村教育质量。协调发展乡村各类教育，乡村学前教育实现全覆盖，高水平发展普通高中教育和职业教育，大力开展职业培训和继续教育，积极开展老年教育、社区教育，探索建设具有乡村特色的终身教育体系，发挥乡村教育在建设社会主义新农村的作用。</w:t>
      </w:r>
    </w:p>
    <w:bookmarkEnd w:id="32"/>
    <w:bookmarkEnd w:id="33"/>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35" w:name="_Toc124060267"/>
      <w:bookmarkStart w:id="36" w:name="_Toc472603673"/>
      <w:bookmarkStart w:id="37" w:name="_Toc464551024"/>
      <w:r>
        <w:rPr>
          <w:rFonts w:hint="eastAsia" w:ascii="黑体" w:hAnsi="黑体" w:eastAsia="黑体" w:cs="黑体"/>
          <w:color w:val="auto"/>
          <w:spacing w:val="0"/>
          <w:sz w:val="32"/>
          <w:szCs w:val="32"/>
          <w:highlight w:val="none"/>
        </w:rPr>
        <w:t xml:space="preserve">第四节 </w:t>
      </w:r>
      <w:r>
        <w:rPr>
          <w:rFonts w:hint="eastAsia" w:ascii="黑体" w:hAnsi="黑体" w:cs="黑体"/>
          <w:color w:val="auto"/>
          <w:spacing w:val="0"/>
          <w:sz w:val="32"/>
          <w:szCs w:val="32"/>
          <w:highlight w:val="none"/>
          <w:lang w:val="en-US" w:eastAsia="zh-CN"/>
        </w:rPr>
        <w:t xml:space="preserve"> </w:t>
      </w:r>
      <w:r>
        <w:rPr>
          <w:rFonts w:hint="eastAsia" w:ascii="黑体" w:hAnsi="黑体" w:eastAsia="黑体" w:cs="黑体"/>
          <w:color w:val="auto"/>
          <w:spacing w:val="0"/>
          <w:sz w:val="32"/>
          <w:szCs w:val="32"/>
          <w:highlight w:val="none"/>
        </w:rPr>
        <w:t>开展平安校园建设，保障校园安全稳定</w:t>
      </w:r>
      <w:bookmarkEnd w:id="35"/>
      <w:bookmarkEnd w:id="36"/>
      <w:bookmarkEnd w:id="37"/>
    </w:p>
    <w:p>
      <w:pPr>
        <w:pStyle w:val="3"/>
        <w:keepNext/>
        <w:keepLines/>
        <w:pageBreakBefore w:val="0"/>
        <w:widowControl w:val="0"/>
        <w:kinsoku/>
        <w:wordWrap/>
        <w:overflowPunct/>
        <w:topLinePunct w:val="0"/>
        <w:autoSpaceDE/>
        <w:autoSpaceDN/>
        <w:bidi w:val="0"/>
        <w:adjustRightInd w:val="0"/>
        <w:snapToGrid w:val="0"/>
        <w:spacing w:before="289" w:after="289" w:line="560" w:lineRule="exact"/>
        <w:ind w:firstLine="607"/>
        <w:jc w:val="both"/>
        <w:textAlignment w:val="auto"/>
        <w:rPr>
          <w:rFonts w:hint="eastAsia" w:ascii="仿宋_GB2312" w:hAnsi="仿宋_GB2312" w:eastAsia="仿宋_GB2312" w:cs="仿宋_GB2312"/>
          <w:color w:val="auto"/>
          <w:spacing w:val="0"/>
          <w:sz w:val="32"/>
          <w:szCs w:val="32"/>
          <w:highlight w:val="none"/>
        </w:rPr>
      </w:pPr>
      <w:bookmarkStart w:id="38" w:name="_Toc124060268"/>
      <w:r>
        <w:rPr>
          <w:rFonts w:hint="eastAsia" w:ascii="仿宋_GB2312" w:hAnsi="仿宋_GB2312" w:eastAsia="仿宋_GB2312" w:cs="仿宋_GB2312"/>
          <w:color w:val="auto"/>
          <w:spacing w:val="0"/>
          <w:sz w:val="32"/>
          <w:szCs w:val="32"/>
          <w:highlight w:val="none"/>
        </w:rPr>
        <w:t>加强学生安全教育，深入推进安全教育进教材、进课堂、进头脑“三进”工作，继续加强对学生的防溺水、消防安全、交通安全、食品安全、宿舍安全、校园反恐防范、校车（管理）、公共事件应急处突工作，完善校园安保准入机制，定期开展校园安全稳定隐患排查和依法整治，进一步</w:t>
      </w:r>
      <w:r>
        <w:rPr>
          <w:rFonts w:hint="eastAsia" w:ascii="仿宋_GB2312" w:hAnsi="仿宋_GB2312" w:eastAsia="仿宋_GB2312" w:cs="仿宋_GB2312"/>
          <w:color w:val="auto"/>
          <w:spacing w:val="0"/>
          <w:sz w:val="32"/>
          <w:szCs w:val="32"/>
          <w:highlight w:val="none"/>
          <w:lang w:eastAsia="zh-CN"/>
        </w:rPr>
        <w:t>增强</w:t>
      </w:r>
      <w:r>
        <w:rPr>
          <w:rFonts w:hint="eastAsia" w:ascii="仿宋_GB2312" w:hAnsi="仿宋_GB2312" w:eastAsia="仿宋_GB2312" w:cs="仿宋_GB2312"/>
          <w:color w:val="auto"/>
          <w:spacing w:val="0"/>
          <w:sz w:val="32"/>
          <w:szCs w:val="32"/>
          <w:highlight w:val="none"/>
        </w:rPr>
        <w:t>全市师生自我防护安全意识，改善全市师生应急处突和自救互助能力。全面深化平安校园建设，通过加强网络安全保障体系和应急指挥体系建设</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构建系统化、智能化、精细化、协同化一体的安全治理平台，利用信息化、大数据手段不断增强校园安全治理现代化。逐步推进校园安全工作任务项目化、标准化、常态化。全面强化校园安全底线、红线、高压线意识，推进立体管控，巩固高质量、高水平、高成效的平安校园建设成果。</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r>
        <w:rPr>
          <w:rFonts w:hint="eastAsia" w:ascii="黑体" w:hAnsi="黑体" w:eastAsia="黑体" w:cs="黑体"/>
          <w:color w:val="auto"/>
          <w:spacing w:val="0"/>
          <w:sz w:val="32"/>
          <w:szCs w:val="32"/>
          <w:highlight w:val="none"/>
        </w:rPr>
        <w:t xml:space="preserve">第五节 </w:t>
      </w:r>
      <w:r>
        <w:rPr>
          <w:rFonts w:hint="eastAsia" w:ascii="黑体" w:hAnsi="黑体" w:eastAsia="黑体" w:cs="黑体"/>
          <w:color w:val="auto"/>
          <w:spacing w:val="0"/>
          <w:sz w:val="32"/>
          <w:szCs w:val="32"/>
          <w:highlight w:val="none"/>
          <w:lang w:val="en-US" w:eastAsia="zh-CN"/>
        </w:rPr>
        <w:t xml:space="preserve"> </w:t>
      </w:r>
      <w:r>
        <w:rPr>
          <w:rFonts w:hint="eastAsia" w:ascii="黑体" w:hAnsi="黑体" w:eastAsia="黑体" w:cs="黑体"/>
          <w:color w:val="auto"/>
          <w:spacing w:val="0"/>
          <w:sz w:val="32"/>
          <w:szCs w:val="32"/>
          <w:highlight w:val="none"/>
        </w:rPr>
        <w:t>健全教育质量评价，完善督导评估制度</w:t>
      </w:r>
      <w:bookmarkEnd w:id="38"/>
    </w:p>
    <w:p>
      <w:pPr>
        <w:keepNext w:val="0"/>
        <w:keepLines w:val="0"/>
        <w:pageBreakBefore w:val="0"/>
        <w:kinsoku/>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ascii="仿宋_GB2312" w:eastAsia="仿宋_GB2312"/>
          <w:b/>
          <w:bCs/>
          <w:color w:val="auto"/>
          <w:spacing w:val="0"/>
          <w:sz w:val="32"/>
          <w:szCs w:val="32"/>
          <w:highlight w:val="none"/>
        </w:rPr>
        <w:t>1</w:t>
      </w:r>
      <w:r>
        <w:rPr>
          <w:rFonts w:hint="eastAsia" w:ascii="仿宋_GB2312" w:eastAsia="仿宋_GB2312"/>
          <w:b/>
          <w:bCs/>
          <w:color w:val="auto"/>
          <w:spacing w:val="0"/>
          <w:sz w:val="32"/>
          <w:szCs w:val="32"/>
          <w:highlight w:val="none"/>
        </w:rPr>
        <w:t>.加强义务教育质量监测结果运用。</w:t>
      </w:r>
    </w:p>
    <w:p>
      <w:pPr>
        <w:keepNext w:val="0"/>
        <w:keepLines w:val="0"/>
        <w:pageBreakBefore w:val="0"/>
        <w:kinsoku/>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shd w:val="clear" w:color="auto" w:fill="FFFFFF"/>
        </w:rPr>
        <w:t>充分发挥国家义务教育质量监测的导向作用，深入分析我市每个学科质量监测报告反馈的信息，探寻义务教育课程开设、条件保障、师资配备、学科教育和学校管理等相关因素，引导各学校把更多的时间精力和资源用于内涵建设、质量提升和学生全面发展上来。强化义务教育质量监测结果应用，切实发挥监测的“诊断”功能，提高教育教学质量。</w:t>
      </w:r>
    </w:p>
    <w:p>
      <w:pPr>
        <w:keepNext w:val="0"/>
        <w:keepLines w:val="0"/>
        <w:pageBreakBefore w:val="0"/>
        <w:kinsoku/>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ascii="仿宋_GB2312" w:eastAsia="仿宋_GB2312"/>
          <w:b/>
          <w:bCs/>
          <w:color w:val="auto"/>
          <w:spacing w:val="0"/>
          <w:sz w:val="32"/>
          <w:szCs w:val="32"/>
          <w:highlight w:val="none"/>
        </w:rPr>
        <w:t>2</w:t>
      </w:r>
      <w:r>
        <w:rPr>
          <w:rFonts w:hint="eastAsia" w:ascii="仿宋_GB2312" w:eastAsia="仿宋_GB2312"/>
          <w:b/>
          <w:bCs/>
          <w:color w:val="auto"/>
          <w:spacing w:val="0"/>
          <w:sz w:val="32"/>
          <w:szCs w:val="32"/>
          <w:highlight w:val="none"/>
        </w:rPr>
        <w:t>.加强学前教育督导工作。</w:t>
      </w:r>
    </w:p>
    <w:p>
      <w:pPr>
        <w:keepNext w:val="0"/>
        <w:keepLines w:val="0"/>
        <w:pageBreakBefore w:val="0"/>
        <w:kinsoku/>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kern w:val="0"/>
          <w:sz w:val="32"/>
          <w:szCs w:val="32"/>
          <w:highlight w:val="none"/>
        </w:rPr>
      </w:pPr>
      <w:r>
        <w:rPr>
          <w:rFonts w:hint="eastAsia" w:ascii="仿宋_GB2312" w:hAnsi="仿宋_GB2312" w:eastAsia="仿宋_GB2312" w:cs="仿宋_GB2312"/>
          <w:color w:val="auto"/>
          <w:spacing w:val="0"/>
          <w:sz w:val="32"/>
          <w:szCs w:val="32"/>
          <w:highlight w:val="none"/>
          <w:shd w:val="clear" w:color="auto" w:fill="FFFFFF"/>
        </w:rPr>
        <w:t>全面落实《幼儿园责任督学挂牌督导办法》文件精神，配足配强学前教育专兼职督学，对幼儿园办园条件、安全卫生、保育保教、教职工队伍、内部管理五方面的办园行为进行专项督导评估</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shd w:val="clear" w:color="auto" w:fill="FFFFFF"/>
        </w:rPr>
        <w:t>实施《</w:t>
      </w:r>
      <w:r>
        <w:rPr>
          <w:rFonts w:hint="eastAsia" w:ascii="仿宋_GB2312" w:hAnsi="仿宋_GB2312" w:eastAsia="仿宋_GB2312" w:cs="仿宋_GB2312"/>
          <w:color w:val="auto"/>
          <w:spacing w:val="0"/>
          <w:sz w:val="32"/>
          <w:szCs w:val="32"/>
          <w:highlight w:val="none"/>
        </w:rPr>
        <w:t>连州市2030年前接受县域学前教育普及普惠督导评估的总体规划》，开展全市学前教育普及普惠水平、政府保障情况、幼儿园保育保教质量的保障情况三方面17个指标的督导评估</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2025年前完成本市县域学前教育普及普惠督导评估工作，</w:t>
      </w:r>
      <w:r>
        <w:rPr>
          <w:rFonts w:hint="eastAsia" w:ascii="仿宋_GB2312" w:hAnsi="仿宋_GB2312" w:eastAsia="仿宋_GB2312" w:cs="仿宋_GB2312"/>
          <w:color w:val="auto"/>
          <w:spacing w:val="0"/>
          <w:kern w:val="0"/>
          <w:sz w:val="32"/>
          <w:szCs w:val="32"/>
          <w:highlight w:val="none"/>
        </w:rPr>
        <w:t>确保2030年前接受省级学前教育普及普惠督导评估。</w:t>
      </w:r>
    </w:p>
    <w:p>
      <w:pPr>
        <w:keepNext w:val="0"/>
        <w:keepLines w:val="0"/>
        <w:pageBreakBefore w:val="0"/>
        <w:kinsoku/>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3.完善普通高中教学质量评价机制。</w:t>
      </w:r>
    </w:p>
    <w:p>
      <w:pPr>
        <w:pStyle w:val="11"/>
        <w:keepNext w:val="0"/>
        <w:keepLines w:val="0"/>
        <w:pageBreakBefore w:val="0"/>
        <w:widowControl/>
        <w:kinsoku/>
        <w:wordWrap w:val="0"/>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shd w:val="clear" w:color="auto" w:fill="FFFFFF"/>
        </w:rPr>
        <w:t>加强常态化随机、专项及综合督导，探索第三方评价方式，对校长、教师及学校管理进行综合测评</w:t>
      </w:r>
      <w:r>
        <w:rPr>
          <w:rFonts w:hint="eastAsia" w:ascii="仿宋_GB2312" w:hAnsi="仿宋_GB2312" w:eastAsia="仿宋_GB2312" w:cs="仿宋_GB2312"/>
          <w:color w:val="auto"/>
          <w:spacing w:val="0"/>
          <w:sz w:val="32"/>
          <w:szCs w:val="32"/>
          <w:highlight w:val="none"/>
          <w:shd w:val="clear" w:color="auto" w:fill="FFFFFF"/>
          <w:lang w:eastAsia="zh-CN"/>
        </w:rPr>
        <w:t>。</w:t>
      </w:r>
      <w:r>
        <w:rPr>
          <w:rFonts w:hint="eastAsia" w:ascii="仿宋_GB2312" w:hAnsi="仿宋_GB2312" w:eastAsia="仿宋_GB2312" w:cs="仿宋_GB2312"/>
          <w:color w:val="auto"/>
          <w:spacing w:val="0"/>
          <w:sz w:val="32"/>
          <w:szCs w:val="32"/>
          <w:highlight w:val="none"/>
          <w:shd w:val="clear" w:color="auto" w:fill="FFFFFF"/>
        </w:rPr>
        <w:t>建立学生学习诊断和质量分析系统，构建学生学习水平能力提升的智能分析体系，加强对学生学习质量的跟踪监控。</w:t>
      </w:r>
    </w:p>
    <w:p>
      <w:pPr>
        <w:keepNext w:val="0"/>
        <w:keepLines w:val="0"/>
        <w:pageBreakBefore w:val="0"/>
        <w:kinsoku/>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4.完善职业教育的质量评价。</w:t>
      </w:r>
    </w:p>
    <w:p>
      <w:pPr>
        <w:keepNext w:val="0"/>
        <w:keepLines w:val="0"/>
        <w:pageBreakBefore w:val="0"/>
        <w:kinsoku/>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kern w:val="0"/>
          <w:sz w:val="32"/>
          <w:szCs w:val="32"/>
          <w:highlight w:val="none"/>
        </w:rPr>
        <w:t>以学习者的职业道德、技术技能水平和就业质量，以及产教融合、校企合作水平为核心，建立职业教育质量评价体系。进一步完善职业学校质量年度报告制度，并向社会公开；完善政府、行业、企业、职业院校等共同参与的质量评价机制，积极引入第三方机构开展综合评价，评价结果列入政策支持、绩效考核、表彰奖励的重要依据。</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39" w:name="_Toc124060269"/>
      <w:r>
        <w:rPr>
          <w:rFonts w:hint="eastAsia" w:ascii="黑体" w:hAnsi="黑体" w:eastAsia="黑体" w:cs="黑体"/>
          <w:color w:val="auto"/>
          <w:spacing w:val="0"/>
          <w:sz w:val="32"/>
          <w:szCs w:val="32"/>
          <w:highlight w:val="none"/>
        </w:rPr>
        <w:t>第六节 加强交流合作，助推优质教育资源入连</w:t>
      </w:r>
      <w:bookmarkEnd w:id="39"/>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b/>
          <w:bCs/>
          <w:color w:val="auto"/>
          <w:spacing w:val="0"/>
          <w:sz w:val="32"/>
          <w:szCs w:val="32"/>
          <w:highlight w:val="none"/>
        </w:rPr>
      </w:pPr>
      <w:r>
        <w:rPr>
          <w:rFonts w:hint="eastAsia" w:ascii="仿宋_GB2312" w:eastAsia="仿宋_GB2312"/>
          <w:b/>
          <w:bCs/>
          <w:color w:val="auto"/>
          <w:spacing w:val="0"/>
          <w:sz w:val="32"/>
          <w:szCs w:val="32"/>
          <w:highlight w:val="none"/>
        </w:rPr>
        <w:t>1.进一步深化广清教育帮扶工作，提升教育协作成效。</w:t>
      </w:r>
    </w:p>
    <w:p>
      <w:pPr>
        <w:keepNext w:val="0"/>
        <w:keepLines w:val="0"/>
        <w:pageBreakBefore w:val="0"/>
        <w:widowControl/>
        <w:kinsoku/>
        <w:wordWrap/>
        <w:overflowPunct/>
        <w:topLinePunct w:val="0"/>
        <w:autoSpaceDE/>
        <w:autoSpaceDN/>
        <w:bidi w:val="0"/>
        <w:adjustRightInd/>
        <w:spacing w:line="560" w:lineRule="exact"/>
        <w:ind w:firstLine="606" w:firstLineChars="200"/>
        <w:jc w:val="left"/>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依托广清对口帮扶的有利条件，抓紧荔湾区对我市的帮扶机遇，充分运用“全口径”“组团式”“融入式”结对帮扶模式，重点开展培养优秀中小学校长、培养名优骨干教师队伍、提高教师队伍能力素质、加强教研队伍建设、提高教师信息技术能力、推动教育集团化，利用广州的优质教育资源，形成机制，精准发力，补短板，强弱项，加强两地教育对接，扩大帮扶效能，促进连州教育发展。建立健全广州与连州两地教育信息、教学资源的开放共享的机制。加强师资培训，通过组织教师跟岗学习、听课、网络互动、挂职锻炼、举办讲座及教学研讨会等多种形式，促进我市教师尤其是名教师、名校长和学科骨干教师的水平提升。深入开展学校结对帮扶，以教学管理、教学改革、教学研究、师资培训、课题研讨为内容，明确帮扶发展目标；开展重点项目和课题协作，在课程改革、教学模式改革、重点课题等方面开展协作，提升我市重点项目和课题的工作效率和水平；继续推进合作举办“实验班”</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冠名班</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等形式，提升我市优秀生培养能力；与广州职业院校开展专业建设、产教融合、校企合作、双师型师资队伍建设、现代学徒制、包括与广州知名企业建立校企合作关系等进行合作，提升我市职业教育发展水平。争取广州市名校、品牌学校，包括民办学校、民营资本到连州办学，推动名校入连。丰富对口帮扶活动形式，包括线上线下、人员互派、师生交流、项目合作、跟岗挂职、校企合作、家校共育、合作办学，</w:t>
      </w:r>
      <w:r>
        <w:rPr>
          <w:rFonts w:hint="eastAsia" w:ascii="仿宋_GB2312" w:hAnsi="仿宋_GB2312" w:eastAsia="仿宋_GB2312" w:cs="仿宋_GB2312"/>
          <w:color w:val="auto"/>
          <w:spacing w:val="0"/>
          <w:sz w:val="32"/>
          <w:szCs w:val="32"/>
          <w:highlight w:val="none"/>
          <w:shd w:val="clear" w:color="auto" w:fill="FFFFFF"/>
        </w:rPr>
        <w:t>利用广清帮扶平台展现连州教育品牌</w:t>
      </w:r>
      <w:r>
        <w:rPr>
          <w:rFonts w:hint="eastAsia" w:ascii="仿宋_GB2312" w:hAnsi="仿宋_GB2312" w:eastAsia="仿宋_GB2312" w:cs="仿宋_GB2312"/>
          <w:color w:val="auto"/>
          <w:spacing w:val="0"/>
          <w:sz w:val="32"/>
          <w:szCs w:val="32"/>
          <w:highlight w:val="none"/>
        </w:rPr>
        <w:t>等多种形式，广泛开展活动，助力连州教育发展。</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2.加强清远北部地区教育交流合作，打造区域教育合作中心。</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要发挥连州市作为清远北部中心城市的作用，积极打造清远北部教育高地。加强清远北部</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三连一阳</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地区的教育交流合作，形成</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三连一阳</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地区教育合作发展的格局。加大</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三连一阳</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地区教育管理部门之间、学校之间、教科研机构之间以及教师之间的交流合作，以人才培养模式、学校特色建设、课程建设、教育教学研究、师资队伍建设为主要内容，广泛开展工作交流、教学交流、师生活动交流、成果交流、教学研讨等活动，定期开展专题教育论坛，打造</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三连一阳</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地区教育交流品牌项目。发挥连州教师发展中心在师资培训、教学研究等交流合作的支撑作用，使其打造为清远北部教育交流合作基地。</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3.拓展与粤港澳大湾区教育交流，加快“入珠融湾”步伐。</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shd w:val="clear" w:color="auto" w:fill="FFFFFF"/>
        </w:rPr>
      </w:pPr>
      <w:r>
        <w:rPr>
          <w:rFonts w:hint="eastAsia" w:ascii="仿宋_GB2312" w:hAnsi="仿宋_GB2312" w:eastAsia="仿宋_GB2312" w:cs="仿宋_GB2312"/>
          <w:color w:val="auto"/>
          <w:spacing w:val="0"/>
          <w:sz w:val="32"/>
          <w:szCs w:val="32"/>
          <w:highlight w:val="none"/>
          <w:shd w:val="clear" w:color="auto" w:fill="FFFFFF"/>
        </w:rPr>
        <w:t>紧跟清远“入珠融湾”步伐，积极参与粤港澳大湾区的教育交流活动，与粤港澳大湾区的学校缔结姐妹学校，形成合作发展的长效机制。认真贯彻落实市委关于“坚定不移加快入珠融湾步伐，以职业教育服务粤港澳大湾区”的要求，大力推动连州职业教育扩容提质，引导职业院校培育粤港澳大湾区所需的技能人才，提高我市职业教育与粤港澳大湾区交流合作能力。加大</w:t>
      </w:r>
      <w:r>
        <w:rPr>
          <w:rFonts w:hint="eastAsia" w:ascii="仿宋_GB2312" w:hAnsi="仿宋_GB2312" w:eastAsia="仿宋_GB2312" w:cs="仿宋_GB2312"/>
          <w:color w:val="auto"/>
          <w:spacing w:val="0"/>
          <w:kern w:val="0"/>
          <w:sz w:val="32"/>
          <w:szCs w:val="32"/>
          <w:highlight w:val="none"/>
          <w:shd w:val="clear" w:color="auto" w:fill="FFFFFF"/>
        </w:rPr>
        <w:t>连州技工学校“粤菜师傅”省级培训基地与粤港澳大湾区的交流</w:t>
      </w:r>
      <w:r>
        <w:rPr>
          <w:rFonts w:hint="eastAsia" w:ascii="仿宋_GB2312" w:hAnsi="仿宋_GB2312" w:eastAsia="仿宋_GB2312" w:cs="仿宋_GB2312"/>
          <w:color w:val="auto"/>
          <w:spacing w:val="0"/>
          <w:sz w:val="32"/>
          <w:szCs w:val="32"/>
          <w:highlight w:val="none"/>
          <w:shd w:val="clear" w:color="auto" w:fill="FFFFFF"/>
        </w:rPr>
        <w:t>，把粤港澳大湾区丰富的粤菜特色落地连接内地的北大门，扩大连州在内地的影响力。</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bookmarkStart w:id="40" w:name="_Toc472603714"/>
      <w:r>
        <w:rPr>
          <w:rFonts w:hint="eastAsia" w:ascii="仿宋_GB2312" w:eastAsia="仿宋_GB2312"/>
          <w:b/>
          <w:bCs/>
          <w:color w:val="auto"/>
          <w:spacing w:val="0"/>
          <w:sz w:val="32"/>
          <w:szCs w:val="32"/>
          <w:highlight w:val="none"/>
        </w:rPr>
        <w:t>4.积极推进国际教育交流合作</w:t>
      </w:r>
      <w:bookmarkEnd w:id="40"/>
      <w:r>
        <w:rPr>
          <w:rFonts w:hint="eastAsia" w:ascii="仿宋_GB2312" w:eastAsia="仿宋_GB2312"/>
          <w:b/>
          <w:bCs/>
          <w:color w:val="auto"/>
          <w:spacing w:val="0"/>
          <w:sz w:val="32"/>
          <w:szCs w:val="32"/>
          <w:highlight w:val="none"/>
        </w:rPr>
        <w:t>，扩大教育发展视野。</w:t>
      </w:r>
    </w:p>
    <w:p>
      <w:pPr>
        <w:keepNext w:val="0"/>
        <w:keepLines w:val="0"/>
        <w:pageBreakBefore w:val="0"/>
        <w:kinsoku/>
        <w:wordWrap/>
        <w:overflowPunct/>
        <w:topLinePunct w:val="0"/>
        <w:autoSpaceDE/>
        <w:autoSpaceDN/>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积极探索在基础教育、职业教育、继续教育、远程教育等方面与国外以及港澳台优质教育机构开展多种形式的教育、文化交流合作</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积极参与清远市开展的教育国际交流合作项目，借助清远的教育国际交流合作平台拓展交流合作项目，扩大交流合作参与度。积极参与国家“一带一路”战略，鼓励职业院校与实施“一带一路”项目的企业一同走出去，参与技术服务、技能培训。积极与境外的教育机构开展教育学术交流，借鉴国际先进的教育理念和教育方法、技术，促进教育改革发展。</w:t>
      </w:r>
    </w:p>
    <w:p>
      <w:pPr>
        <w:pageBreakBefore w:val="0"/>
        <w:kinsoku/>
        <w:overflowPunct/>
        <w:topLinePunct w:val="0"/>
        <w:bidi w:val="0"/>
        <w:snapToGrid w:val="0"/>
        <w:spacing w:line="520" w:lineRule="exact"/>
        <w:ind w:firstLine="606" w:firstLineChars="200"/>
        <w:rPr>
          <w:rFonts w:ascii="仿宋_GB2312" w:hAnsi="仿宋_GB2312" w:eastAsia="仿宋_GB2312" w:cs="仿宋_GB2312"/>
          <w:color w:val="auto"/>
          <w:spacing w:val="0"/>
          <w:sz w:val="32"/>
          <w:szCs w:val="32"/>
          <w:highlight w:val="none"/>
        </w:rPr>
      </w:pPr>
    </w:p>
    <w:p>
      <w:pPr>
        <w:pStyle w:val="2"/>
        <w:pageBreakBefore w:val="0"/>
        <w:kinsoku/>
        <w:overflowPunct/>
        <w:topLinePunct w:val="0"/>
        <w:bidi w:val="0"/>
        <w:spacing w:before="289" w:after="289" w:line="560" w:lineRule="exact"/>
        <w:rPr>
          <w:rFonts w:hint="eastAsia" w:ascii="方正小标宋_GBK" w:hAnsi="方正小标宋_GBK" w:eastAsia="方正小标宋_GBK" w:cs="方正小标宋_GBK"/>
          <w:b/>
          <w:bCs/>
          <w:color w:val="auto"/>
          <w:spacing w:val="0"/>
          <w:highlight w:val="none"/>
        </w:rPr>
      </w:pPr>
      <w:bookmarkStart w:id="41" w:name="_Toc124060270"/>
      <w:r>
        <w:rPr>
          <w:rFonts w:hint="eastAsia" w:ascii="方正小标宋_GBK" w:hAnsi="方正小标宋_GBK" w:eastAsia="方正小标宋_GBK" w:cs="方正小标宋_GBK"/>
          <w:b/>
          <w:bCs/>
          <w:color w:val="auto"/>
          <w:spacing w:val="0"/>
          <w:highlight w:val="none"/>
        </w:rPr>
        <w:t>第六章  保障措施</w:t>
      </w:r>
      <w:bookmarkEnd w:id="41"/>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42" w:name="_Toc124060271"/>
      <w:r>
        <w:rPr>
          <w:rFonts w:hint="eastAsia" w:ascii="黑体" w:hAnsi="黑体" w:eastAsia="黑体" w:cs="黑体"/>
          <w:color w:val="auto"/>
          <w:spacing w:val="0"/>
          <w:sz w:val="32"/>
          <w:szCs w:val="32"/>
          <w:highlight w:val="none"/>
        </w:rPr>
        <w:t xml:space="preserve">第一节 </w:t>
      </w:r>
      <w:r>
        <w:rPr>
          <w:rFonts w:hint="eastAsia" w:ascii="黑体" w:hAnsi="黑体" w:cs="黑体"/>
          <w:color w:val="auto"/>
          <w:spacing w:val="0"/>
          <w:sz w:val="32"/>
          <w:szCs w:val="32"/>
          <w:highlight w:val="none"/>
          <w:lang w:val="en-US" w:eastAsia="zh-CN"/>
        </w:rPr>
        <w:t xml:space="preserve"> </w:t>
      </w:r>
      <w:r>
        <w:rPr>
          <w:rFonts w:hint="eastAsia" w:ascii="黑体" w:hAnsi="黑体" w:eastAsia="黑体" w:cs="黑体"/>
          <w:color w:val="auto"/>
          <w:spacing w:val="0"/>
          <w:sz w:val="32"/>
          <w:szCs w:val="32"/>
          <w:highlight w:val="none"/>
        </w:rPr>
        <w:t>加强党对教育工作的领导，强化组织保障</w:t>
      </w:r>
      <w:bookmarkEnd w:id="42"/>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1.加强党建工作，引领教育改革发展。</w:t>
      </w:r>
    </w:p>
    <w:p>
      <w:pPr>
        <w:pStyle w:val="11"/>
        <w:keepNext w:val="0"/>
        <w:keepLines w:val="0"/>
        <w:pageBreakBefore w:val="0"/>
        <w:widowControl/>
        <w:shd w:val="clear" w:color="auto" w:fill="FFFFFF"/>
        <w:kinsoku/>
        <w:wordWrap/>
        <w:overflowPunct/>
        <w:topLinePunct w:val="0"/>
        <w:autoSpaceDE/>
        <w:autoSpaceDN/>
        <w:bidi w:val="0"/>
        <w:adjustRightInd/>
        <w:snapToGrid w:val="0"/>
        <w:spacing w:beforeAutospacing="0" w:afterAutospacing="0" w:line="560" w:lineRule="exact"/>
        <w:ind w:firstLine="606" w:firstLineChars="200"/>
        <w:jc w:val="both"/>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以习近平新时代中国特色社会主义思想武装头脑，加强党对教育事业的全面领导，全面贯彻党的教育方针，保证教育改革发展正确方向。充分发挥党组织在学校的领导核心和政治核心作用，牢牢把握学校意识形态工作领导权，将党建工作与学校事业发展同部署、同落实、同考评。重视抓好班子，带好队伍，强化红色领航，</w:t>
      </w:r>
      <w:r>
        <w:rPr>
          <w:rFonts w:hint="eastAsia" w:ascii="仿宋_GB2312" w:hAnsi="仿宋_GB2312" w:eastAsia="仿宋_GB2312" w:cs="仿宋_GB2312"/>
          <w:color w:val="auto"/>
          <w:spacing w:val="0"/>
          <w:sz w:val="32"/>
          <w:szCs w:val="32"/>
          <w:highlight w:val="none"/>
          <w:lang w:eastAsia="zh-CN"/>
        </w:rPr>
        <w:t>全面加强各级各类学校党的建设，不断推进全面从严治党向纵深发展。</w:t>
      </w:r>
      <w:r>
        <w:rPr>
          <w:rFonts w:hint="eastAsia" w:ascii="仿宋_GB2312" w:hAnsi="仿宋_GB2312" w:eastAsia="仿宋_GB2312" w:cs="仿宋_GB2312"/>
          <w:color w:val="auto"/>
          <w:spacing w:val="0"/>
          <w:sz w:val="32"/>
          <w:szCs w:val="32"/>
          <w:highlight w:val="none"/>
        </w:rPr>
        <w:t>以“推动党组织全面进步、全面过硬”为目标，进一步完善基层党组织建设，制定党建工作考核细则和中小学（幼儿园）党风廉政考核细则，开展全覆盖督查和实地考核，大力推动上级决策部署落地落实。健全“双培养”机制，对</w:t>
      </w:r>
      <w:r>
        <w:rPr>
          <w:rFonts w:hint="eastAsia" w:ascii="仿宋_GB2312" w:hAnsi="仿宋_GB2312" w:eastAsia="仿宋_GB2312" w:cs="仿宋_GB2312"/>
          <w:color w:val="auto"/>
          <w:spacing w:val="0"/>
          <w:sz w:val="32"/>
          <w:szCs w:val="32"/>
          <w:highlight w:val="none"/>
          <w:shd w:val="clear" w:color="auto" w:fill="FFFFFF"/>
        </w:rPr>
        <w:t>教师进行有计划</w:t>
      </w:r>
      <w:r>
        <w:rPr>
          <w:rFonts w:hint="eastAsia" w:ascii="仿宋_GB2312" w:hAnsi="仿宋_GB2312" w:eastAsia="仿宋_GB2312" w:cs="仿宋_GB2312"/>
          <w:color w:val="auto"/>
          <w:spacing w:val="0"/>
          <w:sz w:val="32"/>
          <w:szCs w:val="32"/>
          <w:highlight w:val="none"/>
          <w:shd w:val="clear" w:color="auto" w:fill="FFFFFF"/>
          <w:lang w:eastAsia="zh-CN"/>
        </w:rPr>
        <w:t>的</w:t>
      </w:r>
      <w:r>
        <w:rPr>
          <w:rFonts w:hint="eastAsia" w:ascii="仿宋_GB2312" w:hAnsi="仿宋_GB2312" w:eastAsia="仿宋_GB2312" w:cs="仿宋_GB2312"/>
          <w:color w:val="auto"/>
          <w:spacing w:val="0"/>
          <w:sz w:val="32"/>
          <w:szCs w:val="32"/>
          <w:highlight w:val="none"/>
          <w:shd w:val="clear" w:color="auto" w:fill="FFFFFF"/>
        </w:rPr>
        <w:t>教育、锻炼、培养，促进其政治进步、专业发展、能力提升和综合素质增强，让党员教师向骨干转变，让非党员教师向党组织靠拢，</w:t>
      </w:r>
      <w:r>
        <w:rPr>
          <w:rFonts w:hint="eastAsia" w:ascii="仿宋_GB2312" w:hAnsi="仿宋_GB2312" w:eastAsia="仿宋_GB2312" w:cs="仿宋_GB2312"/>
          <w:color w:val="auto"/>
          <w:spacing w:val="0"/>
          <w:sz w:val="32"/>
          <w:szCs w:val="32"/>
          <w:highlight w:val="none"/>
          <w:shd w:val="clear" w:color="auto" w:fill="FFFFFF"/>
          <w:lang w:eastAsia="zh-CN"/>
        </w:rPr>
        <w:t>打造</w:t>
      </w:r>
      <w:r>
        <w:rPr>
          <w:rFonts w:hint="eastAsia" w:ascii="仿宋_GB2312" w:hAnsi="仿宋_GB2312" w:eastAsia="仿宋_GB2312" w:cs="仿宋_GB2312"/>
          <w:color w:val="auto"/>
          <w:spacing w:val="0"/>
          <w:sz w:val="32"/>
          <w:szCs w:val="32"/>
          <w:highlight w:val="none"/>
          <w:shd w:val="clear" w:color="auto" w:fill="FFFFFF"/>
        </w:rPr>
        <w:t>具有青春活力的高素质教师队伍。</w:t>
      </w:r>
      <w:r>
        <w:rPr>
          <w:rFonts w:hint="eastAsia" w:ascii="仿宋_GB2312" w:hAnsi="仿宋_GB2312" w:eastAsia="仿宋_GB2312" w:cs="仿宋_GB2312"/>
          <w:color w:val="auto"/>
          <w:spacing w:val="0"/>
          <w:sz w:val="32"/>
          <w:szCs w:val="32"/>
          <w:highlight w:val="none"/>
        </w:rPr>
        <w:t>充分发挥党员先锋模范作用，增强基层党组织战斗力和凝聚力。指导学校上好思想政治理论课，推进“三全育人”综合改革试点工作，使各类课程与思想政治理论课同向同行。要发挥基层党组织带动学校工会、共青团等群团组织和学生会组织建设，</w:t>
      </w:r>
      <w:r>
        <w:rPr>
          <w:rFonts w:hint="eastAsia" w:ascii="仿宋_GB2312" w:hAnsi="仿宋_GB2312" w:eastAsia="仿宋_GB2312" w:cs="仿宋_GB2312"/>
          <w:color w:val="auto"/>
          <w:spacing w:val="0"/>
          <w:sz w:val="32"/>
          <w:szCs w:val="32"/>
          <w:highlight w:val="none"/>
          <w:lang w:eastAsia="zh-CN"/>
        </w:rPr>
        <w:t>激发</w:t>
      </w:r>
      <w:r>
        <w:rPr>
          <w:rFonts w:hint="eastAsia" w:ascii="仿宋_GB2312" w:hAnsi="仿宋_GB2312" w:eastAsia="仿宋_GB2312" w:cs="仿宋_GB2312"/>
          <w:color w:val="auto"/>
          <w:spacing w:val="0"/>
          <w:sz w:val="32"/>
          <w:szCs w:val="32"/>
          <w:highlight w:val="none"/>
        </w:rPr>
        <w:t>每一位师生员工的积极性和主动性。</w:t>
      </w:r>
    </w:p>
    <w:p>
      <w:pPr>
        <w:keepNext w:val="0"/>
        <w:keepLines w:val="0"/>
        <w:pageBreakBefore w:val="0"/>
        <w:kinsoku/>
        <w:wordWrap/>
        <w:overflowPunct/>
        <w:topLinePunct w:val="0"/>
        <w:autoSpaceDE/>
        <w:autoSpaceDN/>
        <w:bidi w:val="0"/>
        <w:adjustRightInd/>
        <w:spacing w:line="560" w:lineRule="exact"/>
        <w:ind w:firstLine="567" w:firstLineChars="187"/>
        <w:textAlignment w:val="auto"/>
        <w:rPr>
          <w:rFonts w:ascii="仿宋_GB2312" w:eastAsia="仿宋_GB2312"/>
          <w:b/>
          <w:bCs/>
          <w:color w:val="auto"/>
          <w:spacing w:val="0"/>
          <w:sz w:val="32"/>
          <w:szCs w:val="32"/>
          <w:highlight w:val="none"/>
        </w:rPr>
      </w:pPr>
      <w:bookmarkStart w:id="43" w:name="_Toc472603717"/>
      <w:r>
        <w:rPr>
          <w:rFonts w:hint="eastAsia" w:ascii="仿宋_GB2312" w:eastAsia="仿宋_GB2312"/>
          <w:b/>
          <w:bCs/>
          <w:color w:val="auto"/>
          <w:spacing w:val="0"/>
          <w:sz w:val="32"/>
          <w:szCs w:val="32"/>
          <w:highlight w:val="none"/>
        </w:rPr>
        <w:t>2.加强各方责任落实，强化组织保障作用</w:t>
      </w:r>
      <w:bookmarkEnd w:id="43"/>
      <w:r>
        <w:rPr>
          <w:rFonts w:hint="eastAsia" w:ascii="仿宋_GB2312" w:eastAsia="仿宋_GB2312"/>
          <w:b/>
          <w:bCs/>
          <w:color w:val="auto"/>
          <w:spacing w:val="0"/>
          <w:sz w:val="32"/>
          <w:szCs w:val="32"/>
          <w:highlight w:val="none"/>
        </w:rPr>
        <w:t>。</w:t>
      </w:r>
    </w:p>
    <w:p>
      <w:pPr>
        <w:keepNext w:val="0"/>
        <w:keepLines w:val="0"/>
        <w:pageBreakBefore w:val="0"/>
        <w:kinsoku/>
        <w:wordWrap/>
        <w:overflowPunct/>
        <w:topLinePunct w:val="0"/>
        <w:autoSpaceDE/>
        <w:autoSpaceDN/>
        <w:bidi w:val="0"/>
        <w:adjustRightInd/>
        <w:snapToGrid w:val="0"/>
        <w:spacing w:line="560" w:lineRule="exact"/>
        <w:ind w:firstLine="606" w:firstLineChars="200"/>
        <w:contextualSpacing/>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充分发挥连州市教育规划发展领导机构的作用，对规划目标任务进行分解，制</w:t>
      </w:r>
      <w:r>
        <w:rPr>
          <w:rFonts w:hint="eastAsia" w:ascii="仿宋_GB2312" w:hAnsi="仿宋_GB2312" w:eastAsia="仿宋_GB2312" w:cs="仿宋_GB2312"/>
          <w:color w:val="auto"/>
          <w:spacing w:val="0"/>
          <w:sz w:val="32"/>
          <w:szCs w:val="32"/>
          <w:highlight w:val="none"/>
          <w:lang w:eastAsia="zh-CN"/>
        </w:rPr>
        <w:t>定</w:t>
      </w:r>
      <w:r>
        <w:rPr>
          <w:rFonts w:hint="eastAsia" w:ascii="仿宋_GB2312" w:hAnsi="仿宋_GB2312" w:eastAsia="仿宋_GB2312" w:cs="仿宋_GB2312"/>
          <w:color w:val="auto"/>
          <w:spacing w:val="0"/>
          <w:sz w:val="32"/>
          <w:szCs w:val="32"/>
          <w:highlight w:val="none"/>
        </w:rPr>
        <w:t>实施方案。落实发展改革、教育、人社、编制、财税、国土房管、城乡建设、农村建设、行业联络等部门发展教育的责任，合理分工、协调配合，形成合力。加强教育与连州市经济社会发展规划对接，开展年度规划落实情况评估，及时总结规划实施中的经验和教训，依据发展变化以及社会各界的意见和建议适时调整规划。</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44" w:name="_Toc124060272"/>
      <w:r>
        <w:rPr>
          <w:rFonts w:hint="eastAsia" w:ascii="黑体" w:hAnsi="黑体" w:eastAsia="黑体" w:cs="黑体"/>
          <w:color w:val="auto"/>
          <w:spacing w:val="0"/>
          <w:sz w:val="32"/>
          <w:szCs w:val="32"/>
          <w:highlight w:val="none"/>
        </w:rPr>
        <w:t xml:space="preserve">第二节 </w:t>
      </w:r>
      <w:r>
        <w:rPr>
          <w:rFonts w:hint="eastAsia" w:ascii="黑体" w:hAnsi="黑体" w:cs="黑体"/>
          <w:color w:val="auto"/>
          <w:spacing w:val="0"/>
          <w:sz w:val="32"/>
          <w:szCs w:val="32"/>
          <w:highlight w:val="none"/>
          <w:lang w:val="en-US" w:eastAsia="zh-CN"/>
        </w:rPr>
        <w:t xml:space="preserve"> </w:t>
      </w:r>
      <w:r>
        <w:rPr>
          <w:rFonts w:hint="eastAsia" w:ascii="黑体" w:hAnsi="黑体" w:eastAsia="黑体" w:cs="黑体"/>
          <w:color w:val="auto"/>
          <w:spacing w:val="0"/>
          <w:sz w:val="32"/>
          <w:szCs w:val="32"/>
          <w:highlight w:val="none"/>
        </w:rPr>
        <w:t>深化教育改革，强化机制保障</w:t>
      </w:r>
      <w:bookmarkEnd w:id="44"/>
    </w:p>
    <w:p>
      <w:pPr>
        <w:keepNext w:val="0"/>
        <w:keepLines w:val="0"/>
        <w:pageBreakBefore w:val="0"/>
        <w:widowControl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1.深化综合改革，增强教育创新发展能力。</w:t>
      </w:r>
    </w:p>
    <w:p>
      <w:pPr>
        <w:keepNext w:val="0"/>
        <w:keepLines w:val="0"/>
        <w:pageBreakBefore w:val="0"/>
        <w:widowControl w:val="0"/>
        <w:kinsoku/>
        <w:wordWrap/>
        <w:overflowPunct/>
        <w:topLinePunct w:val="0"/>
        <w:autoSpaceDE w:val="0"/>
        <w:autoSpaceDN w:val="0"/>
        <w:bidi w:val="0"/>
        <w:adjustRightInd/>
        <w:snapToGrid w:val="0"/>
        <w:spacing w:line="560" w:lineRule="exact"/>
        <w:ind w:firstLine="606" w:firstLineChars="200"/>
        <w:contextualSpacing/>
        <w:jc w:val="left"/>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完善市级统筹、分级管理的教育管理体制，</w:t>
      </w:r>
      <w:r>
        <w:rPr>
          <w:rFonts w:hint="eastAsia" w:ascii="仿宋_GB2312" w:hAnsi="仿宋_GB2312" w:eastAsia="仿宋_GB2312" w:cs="仿宋_GB2312"/>
          <w:color w:val="auto"/>
          <w:spacing w:val="0"/>
          <w:kern w:val="0"/>
          <w:sz w:val="32"/>
          <w:szCs w:val="32"/>
          <w:highlight w:val="none"/>
        </w:rPr>
        <w:t>政府部门要深化“放管服”改革，加快推进职能转变，由注重“办”教育向“管理与服务”过渡，</w:t>
      </w:r>
      <w:r>
        <w:rPr>
          <w:rFonts w:hint="eastAsia" w:ascii="仿宋_GB2312" w:hAnsi="仿宋_GB2312" w:eastAsia="仿宋_GB2312" w:cs="仿宋_GB2312"/>
          <w:color w:val="auto"/>
          <w:spacing w:val="0"/>
          <w:sz w:val="32"/>
          <w:szCs w:val="32"/>
          <w:highlight w:val="none"/>
        </w:rPr>
        <w:t>推进教育管办评分离，提高教育治理水平。深化各级各类教育办学体制改革，形成政府统筹主导、行业企业支持配合、社会力量积极参与、公办与民办共同发展的多元化办学格局。深化考试招生制度改革，认真学习广东省考试招生制度改革总体方案，引导中小学转变教育思想和观念，深化人才培养模式改革，构建综合人才评价体系。继续深入实施招生阳光工程。认真做好随迁子女参加中考高考工作。进一步规范特长生招生工作的管理。</w:t>
      </w:r>
    </w:p>
    <w:p>
      <w:pPr>
        <w:keepNext w:val="0"/>
        <w:keepLines w:val="0"/>
        <w:pageBreakBefore w:val="0"/>
        <w:widowControl w:val="0"/>
        <w:kinsoku/>
        <w:wordWrap/>
        <w:overflowPunct/>
        <w:topLinePunct w:val="0"/>
        <w:bidi w:val="0"/>
        <w:adjustRightInd/>
        <w:spacing w:line="560" w:lineRule="exact"/>
        <w:ind w:firstLine="567" w:firstLineChars="187"/>
        <w:textAlignment w:val="auto"/>
        <w:rPr>
          <w:rFonts w:ascii="仿宋_GB2312" w:eastAsia="仿宋_GB2312"/>
          <w:b/>
          <w:bCs/>
          <w:color w:val="auto"/>
          <w:spacing w:val="0"/>
          <w:sz w:val="32"/>
          <w:szCs w:val="32"/>
          <w:highlight w:val="none"/>
        </w:rPr>
      </w:pPr>
      <w:r>
        <w:rPr>
          <w:rFonts w:hint="eastAsia" w:ascii="仿宋_GB2312" w:eastAsia="仿宋_GB2312"/>
          <w:b/>
          <w:bCs/>
          <w:color w:val="auto"/>
          <w:spacing w:val="0"/>
          <w:sz w:val="32"/>
          <w:szCs w:val="32"/>
          <w:highlight w:val="none"/>
        </w:rPr>
        <w:t>2.深化学校人事分配制度改革，激发教师队伍活力。</w:t>
      </w:r>
    </w:p>
    <w:p>
      <w:pPr>
        <w:keepNext w:val="0"/>
        <w:keepLines w:val="0"/>
        <w:pageBreakBefore w:val="0"/>
        <w:widowControl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深化中小学教师“县管校聘”管理改革。</w:t>
      </w:r>
      <w:r>
        <w:rPr>
          <w:rFonts w:hint="eastAsia" w:ascii="仿宋_GB2312" w:hAnsi="仿宋_GB2312" w:eastAsia="仿宋_GB2312" w:cs="仿宋_GB2312"/>
          <w:color w:val="auto"/>
          <w:spacing w:val="0"/>
          <w:sz w:val="32"/>
          <w:szCs w:val="32"/>
          <w:highlight w:val="none"/>
        </w:rPr>
        <w:t>在全市公办中小学校（含幼儿园）实施创新用人机制，教师队伍县域内统管统用、合理配置，实现教师由“学校人”向“系统人”转变，激发教师队伍活力，为推进我市教育现代化建设提供坚强有力的师资保障。</w:t>
      </w:r>
    </w:p>
    <w:p>
      <w:pPr>
        <w:keepNext w:val="0"/>
        <w:keepLines w:val="0"/>
        <w:pageBreakBefore w:val="0"/>
        <w:widowControl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实施中小学校长职级制。</w:t>
      </w:r>
      <w:r>
        <w:rPr>
          <w:rFonts w:hint="eastAsia" w:ascii="仿宋_GB2312" w:hAnsi="仿宋_GB2312" w:eastAsia="仿宋_GB2312" w:cs="仿宋_GB2312"/>
          <w:color w:val="auto"/>
          <w:spacing w:val="0"/>
          <w:sz w:val="32"/>
          <w:szCs w:val="32"/>
          <w:highlight w:val="none"/>
        </w:rPr>
        <w:t>完善以校长职级制度为核心的校长管理制度体系，实现职责与权利统一、职级与待遇对应，激发校长的创新精神和办学积极性，不断提高校长队伍专业化水平，提高学校管理水平，进而推动加快构建现代学校制度，全面提高教育质量。</w:t>
      </w:r>
    </w:p>
    <w:p>
      <w:pPr>
        <w:keepNext w:val="0"/>
        <w:keepLines w:val="0"/>
        <w:pageBreakBefore w:val="0"/>
        <w:widowControl w:val="0"/>
        <w:kinsoku/>
        <w:wordWrap/>
        <w:overflowPunct/>
        <w:topLinePunct w:val="0"/>
        <w:bidi w:val="0"/>
        <w:adjustRightInd/>
        <w:snapToGrid w:val="0"/>
        <w:spacing w:line="560" w:lineRule="exact"/>
        <w:ind w:firstLine="606" w:firstLineChars="200"/>
        <w:textAlignment w:val="auto"/>
        <w:rPr>
          <w:rFonts w:ascii="仿宋_GB2312" w:hAnsi="仿宋_GB2312" w:eastAsia="仿宋_GB2312" w:cs="仿宋_GB2312"/>
          <w:color w:val="auto"/>
          <w:spacing w:val="0"/>
          <w:sz w:val="32"/>
          <w:szCs w:val="32"/>
          <w:highlight w:val="none"/>
        </w:rPr>
      </w:pPr>
      <w:r>
        <w:rPr>
          <w:rFonts w:hint="eastAsia" w:ascii="仿宋_GB2312" w:hAnsi="仿宋_GB2312" w:eastAsia="仿宋_GB2312" w:cs="仿宋_GB2312"/>
          <w:b/>
          <w:bCs/>
          <w:color w:val="auto"/>
          <w:spacing w:val="0"/>
          <w:kern w:val="0"/>
          <w:sz w:val="32"/>
          <w:szCs w:val="32"/>
          <w:highlight w:val="none"/>
        </w:rPr>
        <w:t>建立健全职业院校自主聘任兼职教师的办法</w:t>
      </w:r>
      <w:r>
        <w:rPr>
          <w:rFonts w:hint="eastAsia" w:ascii="仿宋_GB2312" w:hAnsi="仿宋_GB2312" w:eastAsia="仿宋_GB2312" w:cs="仿宋_GB2312"/>
          <w:b/>
          <w:bCs/>
          <w:color w:val="auto"/>
          <w:spacing w:val="0"/>
          <w:kern w:val="0"/>
          <w:sz w:val="32"/>
          <w:szCs w:val="32"/>
          <w:highlight w:val="none"/>
          <w:lang w:eastAsia="zh-CN"/>
        </w:rPr>
        <w:t>。</w:t>
      </w:r>
      <w:r>
        <w:rPr>
          <w:rFonts w:hint="eastAsia" w:ascii="仿宋_GB2312" w:hAnsi="仿宋_GB2312" w:eastAsia="仿宋_GB2312" w:cs="仿宋_GB2312"/>
          <w:color w:val="auto"/>
          <w:spacing w:val="0"/>
          <w:kern w:val="0"/>
          <w:sz w:val="32"/>
          <w:szCs w:val="32"/>
          <w:highlight w:val="none"/>
        </w:rPr>
        <w:t>完善企业经营管理和技术人员与学校领导、骨干教师相互兼职兼薪制度，推动企业工程技术人员、高技能人才和职业院校教师双向流动。职业院校通过校企合作、技术服务、社会培训、自办企业等所得收入，可按一定比例作为绩效工资来源。</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bookmarkStart w:id="45" w:name="_Toc124060273"/>
      <w:r>
        <w:rPr>
          <w:rFonts w:hint="eastAsia" w:ascii="黑体" w:hAnsi="黑体" w:eastAsia="黑体" w:cs="黑体"/>
          <w:color w:val="auto"/>
          <w:spacing w:val="0"/>
          <w:sz w:val="32"/>
          <w:szCs w:val="32"/>
          <w:highlight w:val="none"/>
        </w:rPr>
        <w:t xml:space="preserve">第三节 </w:t>
      </w:r>
      <w:r>
        <w:rPr>
          <w:rFonts w:hint="eastAsia" w:ascii="黑体" w:hAnsi="黑体" w:cs="黑体"/>
          <w:color w:val="auto"/>
          <w:spacing w:val="0"/>
          <w:sz w:val="32"/>
          <w:szCs w:val="32"/>
          <w:highlight w:val="none"/>
          <w:lang w:val="en-US" w:eastAsia="zh-CN"/>
        </w:rPr>
        <w:t xml:space="preserve"> </w:t>
      </w:r>
      <w:r>
        <w:rPr>
          <w:rFonts w:hint="eastAsia" w:ascii="黑体" w:hAnsi="黑体" w:eastAsia="黑体" w:cs="黑体"/>
          <w:color w:val="auto"/>
          <w:spacing w:val="0"/>
          <w:sz w:val="32"/>
          <w:szCs w:val="32"/>
          <w:highlight w:val="none"/>
        </w:rPr>
        <w:t>提高投入效益，强化经费保障</w:t>
      </w:r>
      <w:bookmarkEnd w:id="45"/>
      <w:r>
        <w:rPr>
          <w:rFonts w:hint="eastAsia" w:ascii="黑体" w:hAnsi="黑体" w:eastAsia="黑体" w:cs="黑体"/>
          <w:color w:val="auto"/>
          <w:spacing w:val="0"/>
          <w:sz w:val="32"/>
          <w:szCs w:val="32"/>
          <w:highlight w:val="none"/>
        </w:rPr>
        <w:t xml:space="preserve"> </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bookmarkStart w:id="46" w:name="_Toc124060274"/>
      <w:r>
        <w:rPr>
          <w:rFonts w:hint="eastAsia" w:ascii="仿宋_GB2312" w:hAnsi="仿宋_GB2312" w:eastAsia="仿宋_GB2312" w:cs="仿宋_GB2312"/>
          <w:b/>
          <w:bCs/>
          <w:color w:val="auto"/>
          <w:spacing w:val="0"/>
          <w:sz w:val="32"/>
          <w:szCs w:val="32"/>
          <w:highlight w:val="none"/>
        </w:rPr>
        <w:t>1.坚持政府投入为主与多渠道筹措，确保教育经费“两个只增不减”。</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要按照教育优先发展要求，建立教育投入保障机制，确保一般公共预算教育支出逐年只增不减，确保按在校学生人数平均的一般公共预算教育支出逐年只增不减。保障教师工资福利待遇与当地公务员工资福利待遇“两相当”。</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十四五</w:t>
      </w:r>
      <w:r>
        <w:rPr>
          <w:rFonts w:hint="eastAsia" w:ascii="仿宋_GB2312" w:hAnsi="仿宋_GB2312" w:eastAsia="仿宋_GB2312" w:cs="仿宋_GB2312"/>
          <w:color w:val="auto"/>
          <w:spacing w:val="0"/>
          <w:sz w:val="32"/>
          <w:szCs w:val="32"/>
          <w:highlight w:val="none"/>
          <w:lang w:eastAsia="zh-CN"/>
        </w:rPr>
        <w:t>”</w:t>
      </w:r>
      <w:r>
        <w:rPr>
          <w:rFonts w:hint="eastAsia" w:ascii="仿宋_GB2312" w:hAnsi="仿宋_GB2312" w:eastAsia="仿宋_GB2312" w:cs="仿宋_GB2312"/>
          <w:color w:val="auto"/>
          <w:spacing w:val="0"/>
          <w:sz w:val="32"/>
          <w:szCs w:val="32"/>
          <w:highlight w:val="none"/>
        </w:rPr>
        <w:t>期间，本级财政将统筹安排基础教育优质提升基础建设项目、职业教育扩容提质工程项目、强师工程项目</w:t>
      </w:r>
      <w:r>
        <w:rPr>
          <w:rFonts w:hint="eastAsia" w:ascii="仿宋_GB2312" w:hAnsi="仿宋_GB2312" w:eastAsia="仿宋_GB2312" w:cs="仿宋_GB2312"/>
          <w:color w:val="auto"/>
          <w:spacing w:val="0"/>
          <w:sz w:val="32"/>
          <w:szCs w:val="32"/>
          <w:highlight w:val="none"/>
          <w:lang w:eastAsia="zh-CN"/>
        </w:rPr>
        <w:t>资</w:t>
      </w:r>
      <w:r>
        <w:rPr>
          <w:rFonts w:hint="eastAsia" w:ascii="仿宋_GB2312" w:hAnsi="仿宋_GB2312" w:eastAsia="仿宋_GB2312" w:cs="仿宋_GB2312"/>
          <w:color w:val="auto"/>
          <w:spacing w:val="0"/>
          <w:sz w:val="32"/>
          <w:szCs w:val="32"/>
          <w:highlight w:val="none"/>
        </w:rPr>
        <w:t>金、教研经费、教育信息化建设及维护等专项经费，确保“两个只增不减”。</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2.科学制定经费投入标准，完善教育投入制度。</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建立与办学规模、培养成本、办学质量等相适应的职业教育财政投入制度，按规定落实职业学校生均经费标准或公用经费标准。认真落实职业学校资助工作，落实对家庭经济困难学生的倾斜政策，健全职业教育奖学金制度。</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建立全市学前教育生均拨款最低标准。建立公办幼儿园生均公用经费标准，公办幼儿园生均公用经费财政拨款、普惠性民办幼儿园财政补助所需经费，本级配套资金由我市财政足额安排。</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建立非义务教育阶段学校办学成本合理分担的有效机制，促进非义务教育高标准发展。</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b/>
          <w:bCs/>
          <w:color w:val="auto"/>
          <w:spacing w:val="0"/>
          <w:sz w:val="32"/>
          <w:szCs w:val="32"/>
          <w:highlight w:val="none"/>
        </w:rPr>
      </w:pPr>
      <w:r>
        <w:rPr>
          <w:rFonts w:hint="eastAsia" w:ascii="仿宋_GB2312" w:hAnsi="仿宋_GB2312" w:eastAsia="仿宋_GB2312" w:cs="仿宋_GB2312"/>
          <w:b/>
          <w:bCs/>
          <w:color w:val="auto"/>
          <w:spacing w:val="0"/>
          <w:sz w:val="32"/>
          <w:szCs w:val="32"/>
          <w:highlight w:val="none"/>
        </w:rPr>
        <w:t>3.落实中小学校财务制度，加强学校财务管理。</w:t>
      </w:r>
    </w:p>
    <w:p>
      <w:pPr>
        <w:keepNext w:val="0"/>
        <w:keepLines w:val="0"/>
        <w:pageBreakBefore w:val="0"/>
        <w:widowControl w:val="0"/>
        <w:kinsoku/>
        <w:wordWrap/>
        <w:overflowPunct/>
        <w:topLinePunct w:val="0"/>
        <w:autoSpaceDE/>
        <w:autoSpaceDN/>
        <w:bidi w:val="0"/>
        <w:adjustRightInd/>
        <w:snapToGrid/>
        <w:spacing w:line="560" w:lineRule="exact"/>
        <w:ind w:firstLine="606" w:firstLineChars="200"/>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rPr>
        <w:t>严格执行以学校为单位编制预算的规定，规范学校预算编制。强化教育经费管理与使用，全面推行以县为单位的“校财局管”办法，并建立以县为单位学校财务结算中心或报账中心，规范资金运作，提高资金使用效益。强化绩效监督，教育经费的使用和管理列入重点审计的内容，建立健全审计监督问责机制，推进学校民主理财和实行财务公开制度。</w:t>
      </w:r>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r>
        <w:rPr>
          <w:rFonts w:hint="eastAsia" w:ascii="黑体" w:hAnsi="黑体" w:eastAsia="黑体" w:cs="黑体"/>
          <w:color w:val="auto"/>
          <w:spacing w:val="0"/>
          <w:sz w:val="32"/>
          <w:szCs w:val="32"/>
          <w:highlight w:val="none"/>
        </w:rPr>
        <w:t>第四节 健全教育质量评价，完善督导保障</w:t>
      </w:r>
      <w:bookmarkEnd w:id="46"/>
    </w:p>
    <w:p>
      <w:pPr>
        <w:keepNext w:val="0"/>
        <w:keepLines w:val="0"/>
        <w:pageBreakBefore w:val="0"/>
        <w:widowControl w:val="0"/>
        <w:kinsoku/>
        <w:wordWrap/>
        <w:overflowPunct/>
        <w:topLinePunct w:val="0"/>
        <w:autoSpaceDE/>
        <w:autoSpaceDN/>
        <w:bidi w:val="0"/>
        <w:adjustRightInd/>
        <w:snapToGrid/>
        <w:spacing w:line="560" w:lineRule="exact"/>
        <w:ind w:firstLine="567" w:firstLineChars="187"/>
        <w:textAlignment w:val="auto"/>
        <w:rPr>
          <w:rFonts w:hint="eastAsia" w:ascii="楷体_GB2312" w:hAnsi="Arial" w:eastAsia="楷体_GB2312" w:cstheme="minorBidi"/>
          <w:color w:val="auto"/>
          <w:spacing w:val="0"/>
          <w:kern w:val="0"/>
          <w:sz w:val="32"/>
          <w:szCs w:val="32"/>
          <w:highlight w:val="none"/>
          <w:lang w:val="en-US" w:eastAsia="zh-CN" w:bidi="ar-SA"/>
        </w:rPr>
      </w:pPr>
      <w:bookmarkStart w:id="47" w:name="_Toc472603716"/>
      <w:r>
        <w:rPr>
          <w:rFonts w:hint="eastAsia" w:ascii="仿宋_GB2312" w:eastAsia="仿宋_GB2312"/>
          <w:color w:val="auto"/>
          <w:spacing w:val="0"/>
          <w:sz w:val="32"/>
          <w:szCs w:val="32"/>
          <w:highlight w:val="none"/>
        </w:rPr>
        <w:t>加强教育督导，规范办学行为。加强教育督导机构建设，成立连州市人民政府教育督导委员会，建立健全教育督导室、督学室、督学责任区机构和制度</w:t>
      </w:r>
      <w:r>
        <w:rPr>
          <w:rFonts w:hint="eastAsia" w:ascii="仿宋_GB2312" w:eastAsia="仿宋_GB2312"/>
          <w:color w:val="auto"/>
          <w:spacing w:val="0"/>
          <w:sz w:val="32"/>
          <w:szCs w:val="32"/>
          <w:highlight w:val="none"/>
          <w:lang w:eastAsia="zh-CN"/>
        </w:rPr>
        <w:t>。</w:t>
      </w:r>
      <w:r>
        <w:rPr>
          <w:rFonts w:hint="eastAsia" w:ascii="仿宋_GB2312" w:eastAsia="仿宋_GB2312"/>
          <w:color w:val="auto"/>
          <w:spacing w:val="0"/>
          <w:sz w:val="32"/>
          <w:szCs w:val="32"/>
          <w:highlight w:val="none"/>
        </w:rPr>
        <w:t>加强教育督导队伍的建设，聘请政治过硬、业务精湛、有教育情怀的专兼职督学，完善督学履职情况考核机制，加强督学培训工作，提升督学整体素养，形成教育督导队伍建设长效机制</w:t>
      </w:r>
      <w:r>
        <w:rPr>
          <w:rFonts w:hint="eastAsia" w:ascii="仿宋_GB2312" w:eastAsia="仿宋_GB2312"/>
          <w:color w:val="auto"/>
          <w:spacing w:val="0"/>
          <w:sz w:val="32"/>
          <w:szCs w:val="32"/>
          <w:highlight w:val="none"/>
          <w:lang w:eastAsia="zh-CN"/>
        </w:rPr>
        <w:t>。</w:t>
      </w:r>
      <w:r>
        <w:rPr>
          <w:rFonts w:hint="eastAsia" w:ascii="仿宋_GB2312" w:eastAsia="仿宋_GB2312"/>
          <w:color w:val="auto"/>
          <w:spacing w:val="0"/>
          <w:sz w:val="32"/>
          <w:szCs w:val="32"/>
          <w:highlight w:val="none"/>
        </w:rPr>
        <w:t>提高教育督导经费预算，完善教育督导机构后勤保障制度</w:t>
      </w:r>
      <w:r>
        <w:rPr>
          <w:rFonts w:hint="eastAsia" w:ascii="仿宋_GB2312" w:eastAsia="仿宋_GB2312"/>
          <w:color w:val="auto"/>
          <w:spacing w:val="0"/>
          <w:sz w:val="32"/>
          <w:szCs w:val="32"/>
          <w:highlight w:val="none"/>
          <w:lang w:eastAsia="zh-CN"/>
        </w:rPr>
        <w:t>。</w:t>
      </w:r>
      <w:r>
        <w:rPr>
          <w:rFonts w:hint="eastAsia" w:ascii="仿宋_GB2312" w:eastAsia="仿宋_GB2312"/>
          <w:color w:val="auto"/>
          <w:spacing w:val="0"/>
          <w:sz w:val="32"/>
          <w:szCs w:val="32"/>
          <w:highlight w:val="none"/>
        </w:rPr>
        <w:t>探索适合连州市教育发展的教育督导模式，探索运用信息化手段推动中小学（幼儿园）责任督学挂牌督导工作，全面实施随机、专项、综合督导工作，保证全市中小学（幼儿园）贯彻执行教育法律法规、规章和国家教育方针。</w:t>
      </w:r>
      <w:bookmarkStart w:id="48" w:name="_Toc472603721"/>
    </w:p>
    <w:p>
      <w:pPr>
        <w:pStyle w:val="3"/>
        <w:pageBreakBefore w:val="0"/>
        <w:kinsoku/>
        <w:overflowPunct/>
        <w:topLinePunct w:val="0"/>
        <w:bidi w:val="0"/>
        <w:spacing w:before="289" w:after="289" w:line="560" w:lineRule="exact"/>
        <w:jc w:val="center"/>
        <w:rPr>
          <w:rFonts w:hint="eastAsia" w:ascii="黑体" w:hAnsi="黑体" w:eastAsia="黑体" w:cs="黑体"/>
          <w:color w:val="auto"/>
          <w:spacing w:val="0"/>
          <w:sz w:val="32"/>
          <w:szCs w:val="32"/>
          <w:highlight w:val="none"/>
        </w:rPr>
      </w:pPr>
      <w:r>
        <w:rPr>
          <w:rFonts w:hint="eastAsia" w:ascii="黑体" w:hAnsi="黑体" w:eastAsia="黑体" w:cs="黑体"/>
          <w:color w:val="auto"/>
          <w:spacing w:val="0"/>
          <w:sz w:val="32"/>
          <w:szCs w:val="32"/>
          <w:highlight w:val="none"/>
        </w:rPr>
        <w:t>第</w:t>
      </w:r>
      <w:r>
        <w:rPr>
          <w:rFonts w:hint="eastAsia" w:ascii="黑体" w:hAnsi="黑体" w:eastAsia="黑体" w:cs="黑体"/>
          <w:color w:val="auto"/>
          <w:spacing w:val="0"/>
          <w:sz w:val="32"/>
          <w:szCs w:val="32"/>
          <w:highlight w:val="none"/>
          <w:lang w:val="en-US" w:eastAsia="zh-CN"/>
        </w:rPr>
        <w:t>五</w:t>
      </w:r>
      <w:r>
        <w:rPr>
          <w:rFonts w:hint="eastAsia" w:ascii="黑体" w:hAnsi="黑体" w:eastAsia="黑体" w:cs="黑体"/>
          <w:color w:val="auto"/>
          <w:spacing w:val="0"/>
          <w:sz w:val="32"/>
          <w:szCs w:val="32"/>
          <w:highlight w:val="none"/>
        </w:rPr>
        <w:t>节 加强宣传引导，营造舆论保障</w:t>
      </w:r>
    </w:p>
    <w:bookmarkEnd w:id="48"/>
    <w:p>
      <w:pPr>
        <w:pStyle w:val="11"/>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06" w:firstLineChars="200"/>
        <w:jc w:val="left"/>
        <w:textAlignment w:val="auto"/>
        <w:rPr>
          <w:rFonts w:hint="eastAsia" w:ascii="仿宋_GB2312" w:hAnsi="仿宋_GB2312" w:eastAsia="仿宋_GB2312" w:cs="仿宋_GB2312"/>
          <w:color w:val="auto"/>
          <w:spacing w:val="0"/>
          <w:sz w:val="32"/>
          <w:szCs w:val="32"/>
          <w:highlight w:val="none"/>
        </w:rPr>
      </w:pPr>
      <w:r>
        <w:rPr>
          <w:rFonts w:hint="eastAsia" w:ascii="仿宋_GB2312" w:hAnsi="仿宋_GB2312" w:eastAsia="仿宋_GB2312" w:cs="仿宋_GB2312"/>
          <w:color w:val="auto"/>
          <w:spacing w:val="0"/>
          <w:sz w:val="32"/>
          <w:szCs w:val="32"/>
          <w:highlight w:val="none"/>
          <w:shd w:val="clear" w:color="auto" w:fill="FFFFFF"/>
        </w:rPr>
        <w:t>要大力宣传党的教育方针和政策，宣传市委、市政府重视教育、发展教育的举措，宣传提高教育教学质量、促进学生健康成长的经验做法，为提升全市教育发展、提高教学质量营造良好的社会环境。各中小学校要树立正确的质量观，向家长和社会宣传正确的育人观，为学生的健康成长营造和谐、轻松的氛围。通过宣传，引导全社会共同关心教育，形成支持教育的强大合力。宣传部门与教育部门合作，每年定期开展“教育活动周”活动，形成有力的宣传氛围。要</w:t>
      </w:r>
      <w:r>
        <w:rPr>
          <w:rFonts w:hint="eastAsia" w:ascii="仿宋_GB2312" w:hAnsi="仿宋_GB2312" w:eastAsia="仿宋_GB2312" w:cs="仿宋_GB2312"/>
          <w:color w:val="auto"/>
          <w:spacing w:val="0"/>
          <w:sz w:val="32"/>
          <w:szCs w:val="32"/>
          <w:highlight w:val="none"/>
        </w:rPr>
        <w:t>构建宣传网络，加强全市教育系统信息工作队伍建设，充分发挥新媒体的宣传作用，以全媒体的视角，全面系统报道全市教育发展的动态及成果，让老百姓真切地感受到教育水平和质量的提升，从而更加理解教育、认同教育、支持教育。</w:t>
      </w:r>
      <w:bookmarkEnd w:id="47"/>
    </w:p>
    <w:p>
      <w:pPr>
        <w:pStyle w:val="11"/>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06" w:firstLineChars="200"/>
        <w:jc w:val="left"/>
        <w:textAlignment w:val="auto"/>
        <w:rPr>
          <w:rFonts w:hint="eastAsia" w:ascii="仿宋_GB2312" w:hAnsi="仿宋_GB2312" w:eastAsia="仿宋_GB2312" w:cs="仿宋_GB2312"/>
          <w:color w:val="auto"/>
          <w:spacing w:val="0"/>
          <w:sz w:val="32"/>
          <w:szCs w:val="32"/>
          <w:highlight w:val="none"/>
        </w:rPr>
      </w:pPr>
    </w:p>
    <w:p>
      <w:pPr>
        <w:pStyle w:val="11"/>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06" w:firstLineChars="200"/>
        <w:jc w:val="left"/>
        <w:textAlignment w:val="auto"/>
        <w:rPr>
          <w:rFonts w:hint="eastAsia" w:ascii="仿宋_GB2312" w:hAnsi="仿宋_GB2312" w:eastAsia="仿宋_GB2312" w:cs="仿宋_GB2312"/>
          <w:color w:val="auto"/>
          <w:spacing w:val="0"/>
          <w:sz w:val="32"/>
          <w:szCs w:val="32"/>
          <w:highlight w:val="none"/>
        </w:rPr>
      </w:pPr>
    </w:p>
    <w:p>
      <w:pPr>
        <w:pStyle w:val="11"/>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06" w:firstLineChars="200"/>
        <w:jc w:val="left"/>
        <w:textAlignment w:val="auto"/>
        <w:rPr>
          <w:rFonts w:hint="eastAsia" w:ascii="仿宋_GB2312" w:hAnsi="仿宋_GB2312" w:eastAsia="仿宋_GB2312" w:cs="仿宋_GB2312"/>
          <w:color w:val="auto"/>
          <w:spacing w:val="0"/>
          <w:sz w:val="32"/>
          <w:szCs w:val="32"/>
          <w:highlight w:val="none"/>
        </w:rPr>
      </w:pPr>
    </w:p>
    <w:p>
      <w:pPr>
        <w:pStyle w:val="11"/>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06" w:firstLineChars="200"/>
        <w:jc w:val="left"/>
        <w:textAlignment w:val="auto"/>
        <w:rPr>
          <w:rFonts w:hint="eastAsia" w:ascii="仿宋_GB2312" w:hAnsi="仿宋_GB2312" w:eastAsia="仿宋_GB2312" w:cs="仿宋_GB2312"/>
          <w:color w:val="auto"/>
          <w:spacing w:val="0"/>
          <w:sz w:val="32"/>
          <w:szCs w:val="32"/>
          <w:highlight w:val="none"/>
        </w:rPr>
      </w:pPr>
    </w:p>
    <w:p>
      <w:pPr>
        <w:pStyle w:val="11"/>
        <w:keepNext w:val="0"/>
        <w:keepLines w:val="0"/>
        <w:pageBreakBefore w:val="0"/>
        <w:widowControl/>
        <w:shd w:val="clear" w:color="auto" w:fill="FFFFFF"/>
        <w:kinsoku/>
        <w:wordWrap/>
        <w:overflowPunct/>
        <w:topLinePunct w:val="0"/>
        <w:autoSpaceDE/>
        <w:autoSpaceDN/>
        <w:bidi w:val="0"/>
        <w:adjustRightInd/>
        <w:snapToGrid w:val="0"/>
        <w:spacing w:line="560" w:lineRule="exact"/>
        <w:ind w:firstLine="606" w:firstLineChars="200"/>
        <w:jc w:val="left"/>
        <w:textAlignment w:val="auto"/>
        <w:rPr>
          <w:rFonts w:hint="eastAsia" w:ascii="仿宋_GB2312" w:hAnsi="仿宋_GB2312" w:eastAsia="仿宋_GB2312" w:cs="仿宋_GB2312"/>
          <w:color w:val="auto"/>
          <w:spacing w:val="0"/>
          <w:sz w:val="32"/>
          <w:szCs w:val="32"/>
          <w:highlight w:val="none"/>
        </w:rPr>
      </w:pPr>
    </w:p>
    <w:p>
      <w:pPr>
        <w:pStyle w:val="11"/>
        <w:keepNext w:val="0"/>
        <w:keepLines w:val="0"/>
        <w:pageBreakBefore w:val="0"/>
        <w:widowControl/>
        <w:shd w:val="clear" w:color="auto" w:fill="FFFFFF"/>
        <w:kinsoku/>
        <w:wordWrap/>
        <w:overflowPunct/>
        <w:topLinePunct w:val="0"/>
        <w:autoSpaceDE/>
        <w:autoSpaceDN/>
        <w:bidi w:val="0"/>
        <w:adjustRightInd/>
        <w:snapToGrid w:val="0"/>
        <w:spacing w:line="560" w:lineRule="exact"/>
        <w:jc w:val="left"/>
        <w:textAlignment w:val="auto"/>
        <w:rPr>
          <w:rFonts w:hint="default" w:ascii="仿宋_GB2312" w:hAnsi="仿宋_GB2312" w:eastAsia="仿宋_GB2312" w:cs="仿宋_GB2312"/>
          <w:color w:val="auto"/>
          <w:spacing w:val="0"/>
          <w:sz w:val="32"/>
          <w:szCs w:val="32"/>
          <w:highlight w:val="none"/>
          <w:lang w:val="en-US" w:eastAsia="zh-CN"/>
        </w:rPr>
      </w:pPr>
    </w:p>
    <w:sectPr>
      <w:footerReference r:id="rId6" w:type="default"/>
      <w:pgSz w:w="11906" w:h="16838"/>
      <w:pgMar w:top="1440" w:right="1803" w:bottom="1440" w:left="1803" w:header="851" w:footer="992" w:gutter="0"/>
      <w:pgNumType w:fmt="decimal"/>
      <w:cols w:space="0" w:num="1"/>
      <w:rtlGutter w:val="0"/>
      <w:docGrid w:type="linesAndChars" w:linePitch="579" w:charSpace="-362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华文彩云"/>
    <w:panose1 w:val="02010600030101010101"/>
    <w:charset w:val="86"/>
    <w:family w:val="auto"/>
    <w:pitch w:val="default"/>
    <w:sig w:usb0="00000000" w:usb1="00000000" w:usb2="00000016" w:usb3="00000000" w:csb0="0004000F" w:csb1="00000000"/>
  </w:font>
  <w:font w:name="等线 Light">
    <w:altName w:val="华文彩云"/>
    <w:panose1 w:val="02010600030101010101"/>
    <w:charset w:val="86"/>
    <w:family w:val="auto"/>
    <w:pitch w:val="default"/>
    <w:sig w:usb0="00000000" w:usb1="00000000" w:usb2="00000016" w:usb3="00000000" w:csb0="0004000F" w:csb1="00000000"/>
  </w:font>
  <w:font w:name="方正小标宋_GBK">
    <w:panose1 w:val="02000000000000000000"/>
    <w:charset w:val="86"/>
    <w:family w:val="script"/>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Cambria">
    <w:altName w:val="Noto Sans Syriac Eastern"/>
    <w:panose1 w:val="02040503050406030204"/>
    <w:charset w:val="00"/>
    <w:family w:val="auto"/>
    <w:pitch w:val="default"/>
    <w:sig w:usb0="00000000" w:usb1="00000000" w:usb2="00000000" w:usb3="00000000" w:csb0="2000019F" w:csb1="00000000"/>
  </w:font>
  <w:font w:name="CESI宋体-GB13000">
    <w:panose1 w:val="02000500000000000000"/>
    <w:charset w:val="86"/>
    <w:family w:val="auto"/>
    <w:pitch w:val="default"/>
    <w:sig w:usb0="800002BF" w:usb1="18C77CF8" w:usb2="00000016" w:usb3="00000000" w:csb0="0004000F" w:csb1="00000000"/>
  </w:font>
  <w:font w:name="楷体_GB2312">
    <w:panose1 w:val="02010609030101010101"/>
    <w:charset w:val="86"/>
    <w:family w:val="auto"/>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等线">
    <w:altName w:val="Quicksand Light"/>
    <w:panose1 w:val="00000000000000000000"/>
    <w:charset w:val="00"/>
    <w:family w:val="auto"/>
    <w:pitch w:val="default"/>
    <w:sig w:usb0="00000000" w:usb1="00000000" w:usb2="00000000" w:usb3="00000000" w:csb0="00000000" w:csb1="00000000"/>
  </w:font>
  <w:font w:name="Quicksand Light">
    <w:panose1 w:val="00000400000000000000"/>
    <w:charset w:val="00"/>
    <w:family w:val="auto"/>
    <w:pitch w:val="default"/>
    <w:sig w:usb0="2000000F" w:usb1="00000001" w:usb2="00000000" w:usb3="00000000" w:csb0="20000193" w:csb1="00000000"/>
  </w:font>
  <w:font w:name="方正宋体S-超大字符集">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rPr>
        <w:sz w:val="18"/>
      </w:rPr>
      <mc:AlternateContent>
        <mc:Choice Requires="wps">
          <w:drawing>
            <wp:anchor distT="0" distB="0" distL="114300" distR="114300" simplePos="0" relativeHeight="25166950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950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7"/>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1</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CgF26zFQIAABkEAAAOAAAAZHJz&#10;L2Uyb0RvYy54bWytU8uO0zAU3SPxD5b3NGkRo6pqOiozKkKqmJEKYu06dhvJL9luk/IB8Aes2LDn&#10;u/odHLtJBwErxMY51/fmPs49nt92WpGj8KGxpqLjUUmJMNzWjdlV9MP71YspJSEyUzNljajoSQR6&#10;u3j+bN66mZjYvVW18ARJTJi1rqL7GN2sKALfC83CyDph4JTWaxZh+l1Re9Yiu1bFpCxvitb62nnL&#10;RQi4vb846SLnl1Lw+CBlEJGoiqK3mE+fz206i8WczXaeuX3D+zbYP3ShWWNQ9JrqnkVGDr75I5Vu&#10;uLfByjjiVhdWyoaLPAOmGZe/TbPZMyfyLCAnuCtN4f+l5e+Oj540dUUnlBimsaLz1y/nbz/O3z+T&#10;SaKndWGGqI1DXOxe266i0R/E4Aq4T4N30uv0xUgEIeD6dOVXdJFwXI6nk+m0hIvDNxgoUTz97nyI&#10;b4TVJIGKeiww88qO6xAvoUNIqmbsqlEqL1EZ0lb05uWrMv9w9SC5MqiR5rg0m1Dstl0/3NbWJ8zm&#10;7UUcwfFVg+JrFuIj81ADGobC4wMOqSyK2B5Rsrf+09/uUzyWBC8lLdRVUQP5U6LeGiwvCXEAfgDb&#10;AZiDvrOQ6xgvx/EM8YOPaoDSW/0Rsl+mGpKpgMTMcFTDagZ4F2H1TjwfLpbLqw3pORbXZuN4v8zE&#10;ZXDLQwSfmebE0YWYnjroLy+qfytJ4L/aOerpRS9+Al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BYAAABkcnMvUEsBAhQAFAAAAAgAh07iQLNJ&#10;WO7QAAAABQEAAA8AAAAAAAAAAQAgAAAAOAAAAGRycy9kb3ducmV2LnhtbFBLAQIUABQAAAAIAIdO&#10;4kCgF26zFQIAABkEAAAOAAAAAAAAAAEAIAAAADUBAABkcnMvZTJvRG9jLnhtbFBLBQYAAAAABgAG&#10;AFkBAAC8BQAAAAA=&#10;">
              <v:fill on="f" focussize="0,0"/>
              <v:stroke on="f" weight="0.5pt"/>
              <v:imagedata o:title=""/>
              <o:lock v:ext="edit" aspectratio="f"/>
              <v:textbox inset="0mm,0mm,0mm,0mm" style="mso-fit-shape-to-text:t;">
                <w:txbxContent>
                  <w:p>
                    <w:pPr>
                      <w:pStyle w:val="7"/>
                      <w:jc w:val="center"/>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PAGE  \* MERGEFORMAT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t>5</w:t>
                    </w:r>
                    <w:r>
                      <w:rPr>
                        <w:rFonts w:hint="eastAsia" w:ascii="仿宋_GB2312" w:hAnsi="仿宋_GB2312" w:eastAsia="仿宋_GB2312" w:cs="仿宋_GB2312"/>
                        <w:sz w:val="28"/>
                        <w:szCs w:val="28"/>
                      </w:rPr>
                      <w:fldChar w:fldCharType="end"/>
                    </w:r>
                    <w:r>
                      <w:rPr>
                        <w:rFonts w:hint="eastAsia" w:ascii="仿宋_GB2312" w:hAnsi="仿宋_GB2312" w:eastAsia="仿宋_GB2312" w:cs="仿宋_GB2312"/>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HorizontalSpacing w:val="96"/>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696C"/>
    <w:rsid w:val="000853E5"/>
    <w:rsid w:val="000A4509"/>
    <w:rsid w:val="000A614A"/>
    <w:rsid w:val="000B144C"/>
    <w:rsid w:val="0013656F"/>
    <w:rsid w:val="002359A3"/>
    <w:rsid w:val="002813E7"/>
    <w:rsid w:val="003A6948"/>
    <w:rsid w:val="004E5C4C"/>
    <w:rsid w:val="0050696C"/>
    <w:rsid w:val="005A71EC"/>
    <w:rsid w:val="005D19D3"/>
    <w:rsid w:val="006A73BE"/>
    <w:rsid w:val="006D1F66"/>
    <w:rsid w:val="00805465"/>
    <w:rsid w:val="008075FE"/>
    <w:rsid w:val="009D6354"/>
    <w:rsid w:val="00A53565"/>
    <w:rsid w:val="00AF1DB6"/>
    <w:rsid w:val="00B424AF"/>
    <w:rsid w:val="00BF4AAD"/>
    <w:rsid w:val="00C26106"/>
    <w:rsid w:val="00C473C1"/>
    <w:rsid w:val="00E9780A"/>
    <w:rsid w:val="00F17CCF"/>
    <w:rsid w:val="00F83F17"/>
    <w:rsid w:val="012D7CE9"/>
    <w:rsid w:val="020A2A80"/>
    <w:rsid w:val="027312B3"/>
    <w:rsid w:val="04954E5B"/>
    <w:rsid w:val="050E0287"/>
    <w:rsid w:val="09E34EF9"/>
    <w:rsid w:val="0AB0787C"/>
    <w:rsid w:val="0ACD42F5"/>
    <w:rsid w:val="0CC6111B"/>
    <w:rsid w:val="1039140A"/>
    <w:rsid w:val="10B76B68"/>
    <w:rsid w:val="13FF2D40"/>
    <w:rsid w:val="178D6D67"/>
    <w:rsid w:val="191E14B6"/>
    <w:rsid w:val="19C37DB2"/>
    <w:rsid w:val="1B671DEF"/>
    <w:rsid w:val="1B72767A"/>
    <w:rsid w:val="1E2544E8"/>
    <w:rsid w:val="1F2E2694"/>
    <w:rsid w:val="1FFF4F3E"/>
    <w:rsid w:val="22C11C88"/>
    <w:rsid w:val="244F11DD"/>
    <w:rsid w:val="24F77198"/>
    <w:rsid w:val="266D5ED6"/>
    <w:rsid w:val="26F565A6"/>
    <w:rsid w:val="30E2336E"/>
    <w:rsid w:val="322A676F"/>
    <w:rsid w:val="32825FC1"/>
    <w:rsid w:val="32DF0B63"/>
    <w:rsid w:val="38AA05EA"/>
    <w:rsid w:val="3ACE2D57"/>
    <w:rsid w:val="3B7D4AFE"/>
    <w:rsid w:val="3E5F6F93"/>
    <w:rsid w:val="3FBFD243"/>
    <w:rsid w:val="3FF97929"/>
    <w:rsid w:val="419F7EB8"/>
    <w:rsid w:val="434D1B8D"/>
    <w:rsid w:val="43724437"/>
    <w:rsid w:val="47761B5A"/>
    <w:rsid w:val="49F10DFA"/>
    <w:rsid w:val="4B737E8B"/>
    <w:rsid w:val="4CBC124C"/>
    <w:rsid w:val="51663950"/>
    <w:rsid w:val="52A428A8"/>
    <w:rsid w:val="583A7D09"/>
    <w:rsid w:val="59167037"/>
    <w:rsid w:val="5A273179"/>
    <w:rsid w:val="5B1F06A7"/>
    <w:rsid w:val="5D670BA8"/>
    <w:rsid w:val="5D6B4FB9"/>
    <w:rsid w:val="5DFFABE8"/>
    <w:rsid w:val="5E91033C"/>
    <w:rsid w:val="60DB2F2C"/>
    <w:rsid w:val="612C0D43"/>
    <w:rsid w:val="63260B8C"/>
    <w:rsid w:val="636862FF"/>
    <w:rsid w:val="63A7469F"/>
    <w:rsid w:val="63F7873A"/>
    <w:rsid w:val="64982147"/>
    <w:rsid w:val="6641681D"/>
    <w:rsid w:val="665DFD82"/>
    <w:rsid w:val="6827778D"/>
    <w:rsid w:val="6A240177"/>
    <w:rsid w:val="6B2B2F37"/>
    <w:rsid w:val="6C8C3384"/>
    <w:rsid w:val="6EB2682A"/>
    <w:rsid w:val="6F0C3ED4"/>
    <w:rsid w:val="6F77070C"/>
    <w:rsid w:val="6FAB1D2E"/>
    <w:rsid w:val="6FF31F10"/>
    <w:rsid w:val="70EB700B"/>
    <w:rsid w:val="720E3028"/>
    <w:rsid w:val="73766633"/>
    <w:rsid w:val="75D52BA1"/>
    <w:rsid w:val="79057CE6"/>
    <w:rsid w:val="7AAB15FE"/>
    <w:rsid w:val="7BFA8358"/>
    <w:rsid w:val="7C1E4F90"/>
    <w:rsid w:val="7D8B7B3A"/>
    <w:rsid w:val="7DA64819"/>
    <w:rsid w:val="7E9A2FD3"/>
    <w:rsid w:val="7E9F5A79"/>
    <w:rsid w:val="7F144BCD"/>
    <w:rsid w:val="9DDF6E5F"/>
    <w:rsid w:val="CD8BAC0E"/>
    <w:rsid w:val="DFF7590F"/>
    <w:rsid w:val="F7DF0600"/>
    <w:rsid w:val="FB6F1969"/>
    <w:rsid w:val="FEF74969"/>
    <w:rsid w:val="FF6CA173"/>
    <w:rsid w:val="FF9F7D6C"/>
    <w:rsid w:val="FFDBDAB2"/>
    <w:rsid w:val="FFDF316C"/>
    <w:rsid w:val="FFFF762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nhideWhenUsed="0"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99"/>
    <w:pPr>
      <w:keepNext/>
      <w:keepLines/>
      <w:adjustRightInd w:val="0"/>
      <w:snapToGrid w:val="0"/>
      <w:spacing w:beforeLines="50" w:afterLines="50"/>
      <w:jc w:val="center"/>
      <w:outlineLvl w:val="0"/>
    </w:pPr>
    <w:rPr>
      <w:rFonts w:eastAsia="黑体"/>
      <w:kern w:val="44"/>
      <w:sz w:val="32"/>
      <w:szCs w:val="20"/>
    </w:rPr>
  </w:style>
  <w:style w:type="paragraph" w:styleId="3">
    <w:name w:val="heading 2"/>
    <w:basedOn w:val="1"/>
    <w:next w:val="1"/>
    <w:link w:val="17"/>
    <w:qFormat/>
    <w:uiPriority w:val="99"/>
    <w:pPr>
      <w:keepNext/>
      <w:keepLines/>
      <w:adjustRightInd w:val="0"/>
      <w:snapToGrid w:val="0"/>
      <w:spacing w:beforeLines="50" w:afterLines="50"/>
      <w:jc w:val="left"/>
      <w:outlineLvl w:val="1"/>
    </w:pPr>
    <w:rPr>
      <w:rFonts w:ascii="Arial" w:hAnsi="Arial" w:eastAsia="黑体"/>
      <w:kern w:val="0"/>
      <w:sz w:val="30"/>
      <w:szCs w:val="20"/>
    </w:rPr>
  </w:style>
  <w:style w:type="paragraph" w:styleId="4">
    <w:name w:val="heading 3"/>
    <w:basedOn w:val="1"/>
    <w:next w:val="1"/>
    <w:link w:val="18"/>
    <w:qFormat/>
    <w:uiPriority w:val="99"/>
    <w:pPr>
      <w:adjustRightInd w:val="0"/>
      <w:snapToGrid w:val="0"/>
      <w:spacing w:beforeLines="50" w:afterLines="50"/>
      <w:ind w:firstLine="720" w:firstLineChars="200"/>
      <w:jc w:val="left"/>
      <w:outlineLvl w:val="2"/>
    </w:pPr>
    <w:rPr>
      <w:rFonts w:ascii="宋体" w:hAnsi="宋体" w:eastAsia="黑体"/>
      <w:b/>
      <w:kern w:val="0"/>
      <w:sz w:val="28"/>
      <w:szCs w:val="27"/>
    </w:rPr>
  </w:style>
  <w:style w:type="character" w:default="1" w:styleId="13">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qFormat/>
    <w:uiPriority w:val="0"/>
    <w:pPr>
      <w:jc w:val="left"/>
    </w:pPr>
    <w:rPr>
      <w:rFonts w:ascii="Calibri" w:hAnsi="Calibri" w:cs="黑体"/>
      <w:kern w:val="2"/>
      <w:sz w:val="21"/>
      <w:szCs w:val="24"/>
    </w:rPr>
  </w:style>
  <w:style w:type="paragraph" w:styleId="6">
    <w:name w:val="toc 3"/>
    <w:basedOn w:val="1"/>
    <w:next w:val="1"/>
    <w:unhideWhenUsed/>
    <w:qFormat/>
    <w:uiPriority w:val="39"/>
    <w:pPr>
      <w:ind w:left="840" w:leftChars="400"/>
    </w:pPr>
  </w:style>
  <w:style w:type="paragraph" w:styleId="7">
    <w:name w:val="footer"/>
    <w:basedOn w:val="1"/>
    <w:link w:val="19"/>
    <w:qFormat/>
    <w:uiPriority w:val="99"/>
    <w:pPr>
      <w:tabs>
        <w:tab w:val="center" w:pos="4153"/>
        <w:tab w:val="right" w:pos="8306"/>
      </w:tabs>
      <w:snapToGrid w:val="0"/>
      <w:jc w:val="left"/>
    </w:pPr>
    <w:rPr>
      <w:sz w:val="18"/>
      <w:szCs w:val="18"/>
    </w:rPr>
  </w:style>
  <w:style w:type="paragraph" w:styleId="8">
    <w:name w:val="header"/>
    <w:basedOn w:val="1"/>
    <w:link w:val="20"/>
    <w:qFormat/>
    <w:uiPriority w:val="0"/>
    <w:pPr>
      <w:pBdr>
        <w:bottom w:val="single" w:color="auto" w:sz="6" w:space="1"/>
      </w:pBdr>
      <w:tabs>
        <w:tab w:val="center" w:pos="4153"/>
        <w:tab w:val="right" w:pos="8306"/>
      </w:tabs>
      <w:snapToGrid w:val="0"/>
      <w:jc w:val="center"/>
    </w:pPr>
    <w:rPr>
      <w:sz w:val="18"/>
      <w:szCs w:val="18"/>
    </w:rPr>
  </w:style>
  <w:style w:type="paragraph" w:styleId="9">
    <w:name w:val="toc 1"/>
    <w:basedOn w:val="1"/>
    <w:next w:val="1"/>
    <w:unhideWhenUsed/>
    <w:qFormat/>
    <w:uiPriority w:val="39"/>
    <w:pPr>
      <w:tabs>
        <w:tab w:val="right" w:leader="dot" w:pos="8835"/>
      </w:tabs>
      <w:jc w:val="right"/>
    </w:pPr>
  </w:style>
  <w:style w:type="paragraph" w:styleId="10">
    <w:name w:val="toc 2"/>
    <w:basedOn w:val="1"/>
    <w:next w:val="1"/>
    <w:qFormat/>
    <w:uiPriority w:val="39"/>
    <w:pPr>
      <w:tabs>
        <w:tab w:val="right" w:leader="dot" w:pos="8290"/>
      </w:tabs>
    </w:pPr>
    <w:rPr>
      <w:rFonts w:ascii="Times New Roman" w:hAnsi="Times New Roman" w:eastAsia="宋体"/>
      <w:szCs w:val="32"/>
    </w:rPr>
  </w:style>
  <w:style w:type="paragraph" w:styleId="11">
    <w:name w:val="Normal (Web)"/>
    <w:basedOn w:val="1"/>
    <w:qFormat/>
    <w:uiPriority w:val="0"/>
    <w:pPr>
      <w:spacing w:beforeAutospacing="1" w:afterAutospacing="1"/>
      <w:jc w:val="left"/>
    </w:pPr>
    <w:rPr>
      <w:rFonts w:cs="Times New Roman"/>
      <w:kern w:val="0"/>
      <w:sz w:val="24"/>
    </w:rPr>
  </w:style>
  <w:style w:type="character" w:styleId="14">
    <w:name w:val="Strong"/>
    <w:basedOn w:val="13"/>
    <w:qFormat/>
    <w:uiPriority w:val="0"/>
    <w:rPr>
      <w:b/>
    </w:rPr>
  </w:style>
  <w:style w:type="character" w:styleId="15">
    <w:name w:val="Hyperlink"/>
    <w:basedOn w:val="13"/>
    <w:unhideWhenUsed/>
    <w:qFormat/>
    <w:uiPriority w:val="99"/>
    <w:rPr>
      <w:color w:val="0563C1" w:themeColor="hyperlink"/>
      <w:u w:val="single"/>
      <w14:textFill>
        <w14:solidFill>
          <w14:schemeClr w14:val="hlink"/>
        </w14:solidFill>
      </w14:textFill>
    </w:rPr>
  </w:style>
  <w:style w:type="character" w:customStyle="1" w:styleId="16">
    <w:name w:val="标题 1 字符"/>
    <w:basedOn w:val="13"/>
    <w:link w:val="2"/>
    <w:qFormat/>
    <w:uiPriority w:val="99"/>
    <w:rPr>
      <w:rFonts w:eastAsia="黑体"/>
      <w:kern w:val="44"/>
      <w:sz w:val="32"/>
      <w:szCs w:val="20"/>
    </w:rPr>
  </w:style>
  <w:style w:type="character" w:customStyle="1" w:styleId="17">
    <w:name w:val="标题 2 字符"/>
    <w:basedOn w:val="13"/>
    <w:link w:val="3"/>
    <w:qFormat/>
    <w:uiPriority w:val="99"/>
    <w:rPr>
      <w:rFonts w:ascii="Arial" w:hAnsi="Arial" w:eastAsia="黑体"/>
      <w:kern w:val="0"/>
      <w:sz w:val="30"/>
      <w:szCs w:val="20"/>
    </w:rPr>
  </w:style>
  <w:style w:type="character" w:customStyle="1" w:styleId="18">
    <w:name w:val="标题 3 字符"/>
    <w:basedOn w:val="13"/>
    <w:link w:val="4"/>
    <w:qFormat/>
    <w:uiPriority w:val="99"/>
    <w:rPr>
      <w:rFonts w:ascii="宋体" w:hAnsi="宋体" w:eastAsia="黑体"/>
      <w:b/>
      <w:kern w:val="0"/>
      <w:sz w:val="28"/>
      <w:szCs w:val="27"/>
    </w:rPr>
  </w:style>
  <w:style w:type="character" w:customStyle="1" w:styleId="19">
    <w:name w:val="页脚 字符"/>
    <w:basedOn w:val="13"/>
    <w:link w:val="7"/>
    <w:qFormat/>
    <w:uiPriority w:val="99"/>
    <w:rPr>
      <w:sz w:val="18"/>
      <w:szCs w:val="18"/>
    </w:rPr>
  </w:style>
  <w:style w:type="character" w:customStyle="1" w:styleId="20">
    <w:name w:val="页眉 字符"/>
    <w:basedOn w:val="13"/>
    <w:link w:val="8"/>
    <w:qFormat/>
    <w:uiPriority w:val="0"/>
    <w:rPr>
      <w:sz w:val="18"/>
      <w:szCs w:val="18"/>
    </w:rPr>
  </w:style>
  <w:style w:type="paragraph" w:customStyle="1" w:styleId="21">
    <w:name w:val="正文 New New New New New New New New New New New New New New New New New New New New"/>
    <w:qFormat/>
    <w:uiPriority w:val="0"/>
    <w:pPr>
      <w:widowControl w:val="0"/>
      <w:jc w:val="both"/>
    </w:pPr>
    <w:rPr>
      <w:rFonts w:ascii="Times New Roman" w:hAnsi="Times New Roman" w:eastAsia="宋体" w:cstheme="minorBidi"/>
      <w:kern w:val="2"/>
      <w:sz w:val="21"/>
      <w:szCs w:val="24"/>
      <w:lang w:val="en-US" w:eastAsia="zh-CN" w:bidi="ar-SA"/>
    </w:rPr>
  </w:style>
  <w:style w:type="paragraph" w:customStyle="1" w:styleId="22">
    <w:name w:val="p16"/>
    <w:basedOn w:val="1"/>
    <w:qFormat/>
    <w:uiPriority w:val="0"/>
    <w:pPr>
      <w:widowControl/>
    </w:pPr>
    <w:rPr>
      <w:kern w:val="0"/>
      <w:szCs w:val="21"/>
    </w:rPr>
  </w:style>
  <w:style w:type="paragraph" w:customStyle="1" w:styleId="23">
    <w:name w:val="列出段落3"/>
    <w:basedOn w:val="1"/>
    <w:qFormat/>
    <w:uiPriority w:val="99"/>
    <w:pPr>
      <w:ind w:firstLine="420" w:firstLineChars="200"/>
    </w:pPr>
  </w:style>
  <w:style w:type="character" w:customStyle="1" w:styleId="24">
    <w:name w:val="font41"/>
    <w:basedOn w:val="13"/>
    <w:qFormat/>
    <w:uiPriority w:val="0"/>
    <w:rPr>
      <w:rFonts w:ascii="宋体" w:hAnsi="宋体" w:eastAsia="宋体" w:cs="宋体"/>
      <w:color w:val="FF0000"/>
      <w:sz w:val="24"/>
      <w:szCs w:val="24"/>
      <w:u w:val="none"/>
    </w:rPr>
  </w:style>
  <w:style w:type="character" w:customStyle="1" w:styleId="25">
    <w:name w:val="font61"/>
    <w:basedOn w:val="13"/>
    <w:qFormat/>
    <w:uiPriority w:val="0"/>
    <w:rPr>
      <w:rFonts w:hint="eastAsia" w:ascii="宋体" w:hAnsi="宋体" w:eastAsia="宋体" w:cs="宋体"/>
      <w:color w:val="FF0000"/>
      <w:sz w:val="24"/>
      <w:szCs w:val="24"/>
      <w:u w:val="none"/>
    </w:rPr>
  </w:style>
  <w:style w:type="paragraph" w:customStyle="1" w:styleId="26">
    <w:name w:val="WPSOffice手动目录 1"/>
    <w:qFormat/>
    <w:uiPriority w:val="0"/>
    <w:rPr>
      <w:rFonts w:ascii="Times New Roman" w:hAnsi="Times New Roman" w:eastAsia="宋体" w:cs="Times New Roman"/>
      <w:kern w:val="0"/>
      <w:sz w:val="20"/>
      <w:szCs w:val="20"/>
      <w:lang w:val="en-US" w:eastAsia="zh-CN" w:bidi="ar-SA"/>
    </w:rPr>
  </w:style>
  <w:style w:type="paragraph" w:customStyle="1" w:styleId="27">
    <w:name w:val="TOC Heading"/>
    <w:basedOn w:val="2"/>
    <w:next w:val="1"/>
    <w:unhideWhenUsed/>
    <w:qFormat/>
    <w:uiPriority w:val="39"/>
    <w:pPr>
      <w:widowControl/>
      <w:adjustRightInd/>
      <w:snapToGrid/>
      <w:spacing w:before="240" w:beforeLines="0" w:afterLines="0" w:line="259" w:lineRule="auto"/>
      <w:jc w:val="left"/>
      <w:outlineLvl w:val="9"/>
    </w:pPr>
    <w:rPr>
      <w:rFonts w:asciiTheme="majorHAnsi" w:hAnsiTheme="majorHAnsi" w:eastAsiaTheme="majorEastAsia" w:cstheme="majorBidi"/>
      <w:color w:val="2E75B6" w:themeColor="accent1" w:themeShade="BF"/>
      <w:kern w:val="0"/>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114</Pages>
  <Words>66998</Words>
  <Characters>68451</Characters>
  <Lines>574</Lines>
  <Paragraphs>161</Paragraphs>
  <TotalTime>3</TotalTime>
  <ScaleCrop>false</ScaleCrop>
  <LinksUpToDate>false</LinksUpToDate>
  <CharactersWithSpaces>70318</CharactersWithSpaces>
  <Application>WPS Office_11.8.2.10489_F1E327BC-269C-435d-A152-05C5408002CA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2023-01-12T01:46:00Z</dcterms:created>
  <dc:creator>zyyc</dc:creator>
  <cp:lastModifiedBy>秘三</cp:lastModifiedBy>
  <cp:lastPrinted>2023-05-22T03:23:00Z</cp:lastPrinted>
  <dcterms:modified xsi:type="dcterms:W3CDTF">2023-11-15T16:16:23Z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2052-11.8.2.10489</vt:lpwstr>
  </property>
</Properties>
</file>