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val="0"/>
        <w:bidi w:val="0"/>
        <w:adjustRightInd/>
        <w:snapToGrid/>
        <w:spacing w:line="560" w:lineRule="exact"/>
        <w:ind w:firstLine="0"/>
        <w:jc w:val="center"/>
        <w:textAlignment w:val="auto"/>
        <w:rPr>
          <w:rFonts w:hint="eastAsia" w:ascii="方正小标宋简体" w:hAnsi="方正小标宋简体" w:eastAsia="方正小标宋简体" w:cs="方正小标宋简体"/>
          <w:b w:val="0"/>
          <w:bCs w:val="0"/>
          <w:color w:val="auto"/>
          <w:sz w:val="44"/>
          <w:szCs w:val="36"/>
          <w:lang w:val="en-US" w:eastAsia="zh-CN"/>
        </w:rPr>
      </w:pPr>
      <w:r>
        <w:rPr>
          <w:rFonts w:hint="eastAsia" w:ascii="方正小标宋简体" w:hAnsi="方正小标宋简体" w:eastAsia="方正小标宋简体" w:cs="方正小标宋简体"/>
          <w:b/>
          <w:i w:val="0"/>
          <w:snapToGrid/>
          <w:color w:val="000000"/>
          <w:sz w:val="44"/>
          <w:lang w:val="en-US" w:eastAsia="zh-CN"/>
        </w:rPr>
        <w:t>关于</w:t>
      </w:r>
      <w:r>
        <w:rPr>
          <w:rFonts w:hint="eastAsia" w:ascii="方正小标宋简体" w:hAnsi="方正小标宋简体" w:eastAsia="方正小标宋简体" w:cs="方正小标宋简体"/>
          <w:b w:val="0"/>
          <w:bCs w:val="0"/>
          <w:color w:val="auto"/>
          <w:sz w:val="44"/>
          <w:szCs w:val="36"/>
          <w:lang w:eastAsia="zh-CN"/>
        </w:rPr>
        <w:t>连州市水利灌区农业</w:t>
      </w:r>
      <w:r>
        <w:rPr>
          <w:rFonts w:hint="eastAsia" w:ascii="方正小标宋简体" w:hAnsi="方正小标宋简体" w:eastAsia="方正小标宋简体" w:cs="方正小标宋简体"/>
          <w:b w:val="0"/>
          <w:bCs w:val="0"/>
          <w:color w:val="auto"/>
          <w:sz w:val="44"/>
          <w:szCs w:val="36"/>
        </w:rPr>
        <w:t>用水价</w:t>
      </w:r>
      <w:r>
        <w:rPr>
          <w:rFonts w:hint="eastAsia" w:ascii="方正小标宋简体" w:hAnsi="方正小标宋简体" w:eastAsia="方正小标宋简体" w:cs="方正小标宋简体"/>
          <w:b w:val="0"/>
          <w:bCs w:val="0"/>
          <w:color w:val="auto"/>
          <w:sz w:val="44"/>
          <w:szCs w:val="36"/>
          <w:lang w:eastAsia="zh-CN"/>
        </w:rPr>
        <w:t>格</w:t>
      </w:r>
      <w:r>
        <w:rPr>
          <w:rFonts w:hint="eastAsia" w:ascii="方正小标宋简体" w:hAnsi="方正小标宋简体" w:eastAsia="方正小标宋简体" w:cs="方正小标宋简体"/>
          <w:b w:val="0"/>
          <w:bCs w:val="0"/>
          <w:color w:val="auto"/>
          <w:sz w:val="44"/>
          <w:szCs w:val="36"/>
          <w:lang w:val="en-US" w:eastAsia="zh-CN"/>
        </w:rPr>
        <w:t>方案</w:t>
      </w:r>
    </w:p>
    <w:p>
      <w:pPr>
        <w:keepNext w:val="0"/>
        <w:keepLines w:val="0"/>
        <w:pageBreakBefore w:val="0"/>
        <w:widowControl w:val="0"/>
        <w:kinsoku/>
        <w:wordWrap/>
        <w:overflowPunct/>
        <w:topLinePunct w:val="0"/>
        <w:autoSpaceDE/>
        <w:autoSpaceDN w:val="0"/>
        <w:bidi w:val="0"/>
        <w:adjustRightInd/>
        <w:snapToGrid/>
        <w:spacing w:line="560" w:lineRule="exact"/>
        <w:ind w:firstLine="0"/>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评估论证报告</w:t>
      </w:r>
    </w:p>
    <w:p>
      <w:pPr>
        <w:numPr>
          <w:ilvl w:val="0"/>
          <w:numId w:val="0"/>
        </w:numPr>
        <w:jc w:val="both"/>
        <w:rPr>
          <w:rFonts w:hint="eastAsia" w:ascii="黑体" w:hAnsi="黑体" w:eastAsia="黑体" w:cs="黑体"/>
          <w:b/>
          <w:bCs/>
          <w:sz w:val="32"/>
          <w:szCs w:val="32"/>
          <w:lang w:eastAsia="zh-CN"/>
        </w:rPr>
      </w:pPr>
    </w:p>
    <w:p>
      <w:pPr>
        <w:numPr>
          <w:ilvl w:val="0"/>
          <w:numId w:val="0"/>
        </w:numPr>
        <w:ind w:firstLine="640" w:firstLineChars="20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一、起草的必要性</w:t>
      </w:r>
    </w:p>
    <w:p>
      <w:pPr>
        <w:kinsoku/>
        <w:autoSpaceDE/>
        <w:autoSpaceDN w:val="0"/>
        <w:spacing w:line="420" w:lineRule="atLeast"/>
        <w:ind w:firstLine="640" w:firstLineChars="200"/>
        <w:jc w:val="left"/>
        <w:rPr>
          <w:rFonts w:hint="eastAsia" w:ascii="仿宋_GB2312" w:hAnsi="仿宋_GB2312" w:eastAsia="仿宋_GB2312" w:cs="仿宋_GB2312"/>
          <w:b w:val="0"/>
          <w:i w:val="0"/>
          <w:snapToGrid/>
          <w:color w:val="auto"/>
          <w:sz w:val="32"/>
          <w:lang w:eastAsia="zh-CN"/>
        </w:rPr>
      </w:pPr>
      <w:r>
        <w:rPr>
          <w:rFonts w:hint="eastAsia" w:ascii="仿宋_GB2312" w:hAnsi="仿宋_GB2312" w:eastAsia="仿宋_GB2312" w:cs="仿宋_GB2312"/>
          <w:b w:val="0"/>
          <w:bCs w:val="0"/>
          <w:sz w:val="32"/>
          <w:szCs w:val="32"/>
          <w:lang w:eastAsia="zh-CN"/>
        </w:rPr>
        <w:t>根据《国务院办公厅关于推进农业水价综合改革的意见》、《广东省人民政府办公厅关于印发广东省农业水价综合改革实施方案的通知》等规定，</w:t>
      </w:r>
      <w:r>
        <w:rPr>
          <w:rFonts w:hint="eastAsia" w:ascii="仿宋_GB2312" w:hAnsi="仿宋_GB2312" w:eastAsia="仿宋_GB2312" w:cs="仿宋_GB2312"/>
          <w:color w:val="auto"/>
          <w:sz w:val="32"/>
          <w:szCs w:val="36"/>
          <w:lang w:eastAsia="zh-CN"/>
        </w:rPr>
        <w:t>为</w:t>
      </w:r>
      <w:r>
        <w:rPr>
          <w:rFonts w:hint="eastAsia" w:ascii="仿宋_GB2312" w:hAnsi="仿宋_GB2312" w:eastAsia="仿宋_GB2312" w:cs="仿宋_GB2312"/>
          <w:color w:val="auto"/>
          <w:sz w:val="32"/>
          <w:szCs w:val="36"/>
        </w:rPr>
        <w:t>建立健全</w:t>
      </w:r>
      <w:r>
        <w:rPr>
          <w:rFonts w:hint="eastAsia" w:ascii="仿宋_GB2312" w:hAnsi="仿宋_GB2312" w:eastAsia="仿宋_GB2312" w:cs="仿宋_GB2312"/>
          <w:color w:val="auto"/>
          <w:sz w:val="32"/>
          <w:szCs w:val="36"/>
          <w:lang w:eastAsia="zh-CN"/>
        </w:rPr>
        <w:t>农业水价形成机制</w:t>
      </w:r>
      <w:r>
        <w:rPr>
          <w:rFonts w:hint="eastAsia" w:ascii="仿宋_GB2312" w:hAnsi="仿宋_GB2312" w:eastAsia="仿宋_GB2312" w:cs="仿宋_GB2312"/>
          <w:color w:val="auto"/>
          <w:sz w:val="32"/>
          <w:szCs w:val="36"/>
        </w:rPr>
        <w:t>，</w:t>
      </w:r>
      <w:r>
        <w:rPr>
          <w:rFonts w:hint="eastAsia" w:ascii="仿宋_GB2312" w:hAnsi="仿宋_GB2312" w:eastAsia="仿宋_GB2312" w:cs="仿宋_GB2312"/>
          <w:color w:val="auto"/>
          <w:sz w:val="32"/>
          <w:szCs w:val="36"/>
          <w:lang w:eastAsia="zh-CN"/>
        </w:rPr>
        <w:t>促进农业节水和农业可持续发展，加快建设资源节约型、环境友好型社会。该</w:t>
      </w:r>
      <w:r>
        <w:rPr>
          <w:rFonts w:hint="eastAsia" w:ascii="仿宋_GB2312" w:hAnsi="仿宋_GB2312" w:eastAsia="仿宋_GB2312" w:cs="仿宋_GB2312"/>
          <w:b w:val="0"/>
          <w:i w:val="0"/>
          <w:snapToGrid/>
          <w:color w:val="auto"/>
          <w:sz w:val="32"/>
          <w:lang w:eastAsia="zh-CN"/>
        </w:rPr>
        <w:t>《方案》的出台，就是要在保障基本用水需求，总体上不增加农民负担的前提下，通过改革，树立市场意识、遵循市场规律，使市场在水资源配置中起决定性作用，加快推进现代化生态灌区建设，以促进农业节水增效为目标，以完善农田水利工程体系为基础，以建立健全科学的农业水价形成机制为核心，创新体制机制，加快构建政府主导和市场调节相结合的农业水价形成机制，促进水资源节约和可持续利用，为我市经济社会高质量发展提供有力支撑。</w:t>
      </w:r>
    </w:p>
    <w:p>
      <w:pPr>
        <w:kinsoku/>
        <w:autoSpaceDE/>
        <w:autoSpaceDN w:val="0"/>
        <w:spacing w:line="420" w:lineRule="atLeast"/>
        <w:ind w:firstLine="640" w:firstLineChars="200"/>
        <w:jc w:val="left"/>
        <w:rPr>
          <w:rFonts w:hint="eastAsia" w:ascii="黑体" w:hAnsi="黑体" w:eastAsia="黑体" w:cs="黑体"/>
          <w:b w:val="0"/>
          <w:i w:val="0"/>
          <w:snapToGrid/>
          <w:color w:val="auto"/>
          <w:sz w:val="32"/>
          <w:lang w:eastAsia="zh-CN"/>
        </w:rPr>
      </w:pPr>
      <w:r>
        <w:rPr>
          <w:rFonts w:hint="eastAsia" w:ascii="黑体" w:hAnsi="黑体" w:eastAsia="黑体" w:cs="黑体"/>
          <w:b w:val="0"/>
          <w:i w:val="0"/>
          <w:snapToGrid/>
          <w:color w:val="auto"/>
          <w:sz w:val="32"/>
          <w:lang w:eastAsia="zh-CN"/>
        </w:rPr>
        <w:t>二、合法性评估</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仿宋_GB2312" w:hAnsi="仿宋_GB2312" w:eastAsia="仿宋_GB2312" w:cs="仿宋_GB2312"/>
          <w:b w:val="0"/>
          <w:bCs w:val="0"/>
          <w:sz w:val="32"/>
          <w:szCs w:val="32"/>
          <w:lang w:eastAsia="zh-CN"/>
        </w:rPr>
        <w:t>方案的制定是根据</w:t>
      </w:r>
      <w:r>
        <w:rPr>
          <w:rFonts w:hint="eastAsia" w:ascii="仿宋_GB2312" w:hAnsi="仿宋_GB2312" w:eastAsia="仿宋_GB2312" w:cs="仿宋_GB2312"/>
          <w:b w:val="0"/>
          <w:bCs w:val="0"/>
          <w:color w:val="auto"/>
          <w:sz w:val="32"/>
          <w:szCs w:val="32"/>
          <w:lang w:eastAsia="zh-CN"/>
        </w:rPr>
        <w:t>《中华人民共和国价格法》、《政府制定价格行为规则》（国家发改委令第</w:t>
      </w:r>
      <w:r>
        <w:rPr>
          <w:rFonts w:hint="eastAsia" w:ascii="仿宋_GB2312" w:hAnsi="仿宋_GB2312" w:eastAsia="仿宋_GB2312" w:cs="仿宋_GB2312"/>
          <w:b w:val="0"/>
          <w:bCs w:val="0"/>
          <w:color w:val="auto"/>
          <w:sz w:val="32"/>
          <w:szCs w:val="32"/>
          <w:lang w:val="en-US" w:eastAsia="zh-CN"/>
        </w:rPr>
        <w:t>7</w:t>
      </w:r>
      <w:r>
        <w:rPr>
          <w:rFonts w:hint="eastAsia" w:ascii="仿宋_GB2312" w:hAnsi="仿宋_GB2312" w:eastAsia="仿宋_GB2312" w:cs="仿宋_GB2312"/>
          <w:b w:val="0"/>
          <w:bCs w:val="0"/>
          <w:color w:val="auto"/>
          <w:sz w:val="32"/>
          <w:szCs w:val="32"/>
          <w:lang w:eastAsia="zh-CN"/>
        </w:rPr>
        <w:t>号）、</w:t>
      </w:r>
      <w:r>
        <w:rPr>
          <w:rFonts w:hint="eastAsia" w:ascii="仿宋_GB2312" w:hAnsi="仿宋_GB2312" w:eastAsia="仿宋_GB2312" w:cs="仿宋_GB2312"/>
          <w:b w:val="0"/>
          <w:bCs w:val="0"/>
          <w:color w:val="auto"/>
          <w:sz w:val="32"/>
          <w:szCs w:val="32"/>
          <w:lang w:val="en-US" w:eastAsia="zh-CN"/>
        </w:rPr>
        <w:t>《广东省定价目录（2022年版）》（粤府办〔2022〕5号）、《广东省发展改革委关于农业用水价格管理指导意见》（粤发改规[2022]8号）为法律法规依据。严格按照《政府制定价格行为规则》、《广东省发展改革委关于印发政府制定价格行为规则实施细则的通知》（粤发改规〔2019〕2号）和《广东省行政规范性文件管理规定》（广东省人民政府令第277号）有关程序规定落实工作流程。故合法性评估无异议。</w:t>
      </w:r>
    </w:p>
    <w:p>
      <w:pPr>
        <w:widowControl w:val="0"/>
        <w:numPr>
          <w:ilvl w:val="0"/>
          <w:numId w:val="0"/>
        </w:numPr>
        <w:snapToGrid w:val="0"/>
        <w:spacing w:line="583" w:lineRule="atLeast"/>
        <w:ind w:firstLine="960" w:firstLineChars="3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三、合理性、可行性评估论证</w:t>
      </w:r>
    </w:p>
    <w:p>
      <w:pPr>
        <w:numPr>
          <w:ilvl w:val="0"/>
          <w:numId w:val="0"/>
        </w:numPr>
        <w:ind w:firstLine="643" w:firstLineChars="200"/>
        <w:jc w:val="both"/>
        <w:rPr>
          <w:rFonts w:hint="eastAsia" w:ascii="仿宋_GB2312" w:eastAsia="仿宋_GB2312"/>
          <w:color w:val="auto"/>
          <w:sz w:val="32"/>
          <w:szCs w:val="36"/>
          <w:lang w:eastAsia="zh-CN"/>
        </w:rPr>
      </w:pPr>
      <w:r>
        <w:rPr>
          <w:rFonts w:hint="eastAsia" w:ascii="楷体_GB2312" w:hAnsi="楷体_GB2312" w:eastAsia="楷体_GB2312" w:cs="楷体_GB2312"/>
          <w:b/>
          <w:bCs/>
          <w:color w:val="auto"/>
          <w:sz w:val="32"/>
          <w:szCs w:val="36"/>
          <w:lang w:eastAsia="zh-CN"/>
        </w:rPr>
        <w:t>（一）明确农业用水价格的定价管理形式。</w:t>
      </w:r>
      <w:r>
        <w:rPr>
          <w:rFonts w:hint="eastAsia" w:ascii="仿宋_GB2312" w:hAnsi="仿宋_GB2312" w:eastAsia="仿宋_GB2312" w:cs="仿宋_GB2312"/>
          <w:b w:val="0"/>
          <w:bCs w:val="0"/>
          <w:color w:val="auto"/>
          <w:sz w:val="32"/>
          <w:szCs w:val="32"/>
          <w:lang w:eastAsia="zh-CN"/>
        </w:rPr>
        <w:t>根据</w:t>
      </w:r>
      <w:r>
        <w:rPr>
          <w:rFonts w:hint="eastAsia" w:ascii="仿宋_GB2312" w:hAnsi="仿宋_GB2312" w:eastAsia="仿宋_GB2312" w:cs="仿宋_GB2312"/>
          <w:b w:val="0"/>
          <w:bCs w:val="0"/>
          <w:color w:val="auto"/>
          <w:sz w:val="32"/>
          <w:szCs w:val="32"/>
          <w:lang w:val="en-US" w:eastAsia="zh-CN"/>
        </w:rPr>
        <w:t>《广东省发展改革委关于农业用水价格管理指导意见》（粤发改规[2022]8号）文件规定，我市</w:t>
      </w:r>
      <w:r>
        <w:rPr>
          <w:rFonts w:hint="eastAsia" w:ascii="仿宋_GB2312" w:hAnsi="仿宋_GB2312" w:eastAsia="仿宋_GB2312" w:cs="仿宋_GB2312"/>
          <w:b w:val="0"/>
          <w:bCs w:val="0"/>
          <w:color w:val="auto"/>
          <w:kern w:val="2"/>
          <w:sz w:val="32"/>
          <w:szCs w:val="32"/>
          <w:lang w:val="en-US" w:eastAsia="zh-CN"/>
        </w:rPr>
        <w:t>中型灌区的骨干工程、末级渠系供水价格和终端用水价格实行政府定价，全市统一执行本方案农业水价标准；</w:t>
      </w:r>
      <w:r>
        <w:rPr>
          <w:rFonts w:hint="eastAsia" w:ascii="仿宋_GB2312" w:hAnsi="仿宋_GB2312" w:eastAsia="仿宋_GB2312" w:cs="仿宋_GB2312"/>
          <w:color w:val="auto"/>
          <w:sz w:val="32"/>
          <w:szCs w:val="32"/>
          <w:lang w:val="en-US" w:eastAsia="zh-CN"/>
        </w:rPr>
        <w:t>其他灌区终端农业用水价格可参照中型灌区终端水价标准执行，也可由供需双方在平等自愿的基础上协商定价；</w:t>
      </w:r>
      <w:r>
        <w:rPr>
          <w:rFonts w:hint="eastAsia" w:ascii="仿宋_GB2312" w:hAnsi="仿宋_GB2312" w:eastAsia="仿宋_GB2312" w:cs="仿宋_GB2312"/>
          <w:color w:val="auto"/>
          <w:sz w:val="32"/>
          <w:szCs w:val="32"/>
        </w:rPr>
        <w:t>水利工程由</w:t>
      </w:r>
      <w:r>
        <w:rPr>
          <w:rFonts w:hint="eastAsia" w:ascii="仿宋_GB2312" w:hAnsi="仿宋_GB2312" w:eastAsia="仿宋_GB2312" w:cs="仿宋_GB2312"/>
          <w:color w:val="auto"/>
          <w:sz w:val="32"/>
          <w:szCs w:val="32"/>
          <w:lang w:val="en-US" w:eastAsia="zh-CN"/>
        </w:rPr>
        <w:t>农业用水户或农村集体自建自用</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eastAsia="zh-CN"/>
        </w:rPr>
        <w:t>，其用水价格实行市场调节价，由供水方与用水户双方协商确定；</w:t>
      </w:r>
      <w:r>
        <w:rPr>
          <w:rFonts w:hint="eastAsia" w:ascii="仿宋_GB2312" w:hAnsi="仿宋_GB2312" w:eastAsia="仿宋_GB2312" w:cs="仿宋_GB2312"/>
          <w:color w:val="auto"/>
          <w:sz w:val="32"/>
          <w:szCs w:val="32"/>
          <w:lang w:val="en-US" w:eastAsia="zh-CN"/>
        </w:rPr>
        <w:t>中型灌区农业水价标准根据供水成本变化情况实行动态调整。</w:t>
      </w:r>
      <w:r>
        <w:rPr>
          <w:rFonts w:hint="eastAsia" w:ascii="仿宋_GB2312" w:hAnsi="仿宋_GB2312" w:eastAsia="仿宋_GB2312" w:cs="仿宋_GB2312"/>
          <w:b w:val="0"/>
          <w:i w:val="0"/>
          <w:caps w:val="0"/>
          <w:color w:val="auto"/>
          <w:spacing w:val="0"/>
          <w:sz w:val="32"/>
          <w:szCs w:val="32"/>
          <w:lang w:eastAsia="zh-CN"/>
        </w:rPr>
        <w:t>因此方案定价管理形式其可行性评估无异议。</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6"/>
          <w:lang w:val="en-US" w:eastAsia="zh-CN"/>
        </w:rPr>
        <w:t>（二）合理制定农业用水价格，</w:t>
      </w:r>
      <w:r>
        <w:rPr>
          <w:rFonts w:hint="eastAsia" w:ascii="楷体_GB2312" w:hAnsi="楷体_GB2312" w:eastAsia="楷体_GB2312" w:cs="楷体_GB2312"/>
          <w:b/>
          <w:bCs/>
          <w:sz w:val="32"/>
          <w:lang w:eastAsia="zh-CN"/>
        </w:rPr>
        <w:t>农业用水实行分级和分类水价标准。</w:t>
      </w:r>
      <w:r>
        <w:rPr>
          <w:rFonts w:hint="eastAsia" w:ascii="仿宋_GB2312" w:hAnsi="仿宋_GB2312" w:eastAsia="仿宋_GB2312" w:cs="仿宋_GB2312"/>
          <w:b w:val="0"/>
          <w:bCs w:val="0"/>
          <w:color w:val="auto"/>
          <w:sz w:val="32"/>
          <w:szCs w:val="32"/>
          <w:lang w:eastAsia="zh-CN"/>
        </w:rPr>
        <w:t>农业用水价格按照</w:t>
      </w:r>
      <w:r>
        <w:rPr>
          <w:rFonts w:hint="eastAsia" w:ascii="仿宋_GB2312" w:hAnsi="仿宋_GB2312" w:eastAsia="仿宋_GB2312" w:cs="仿宋_GB2312"/>
          <w:b w:val="0"/>
          <w:bCs w:val="0"/>
          <w:color w:val="auto"/>
          <w:sz w:val="32"/>
          <w:szCs w:val="32"/>
          <w:lang w:val="en-US" w:eastAsia="zh-CN"/>
        </w:rPr>
        <w:t>补偿</w:t>
      </w:r>
      <w:r>
        <w:rPr>
          <w:rFonts w:hint="eastAsia" w:ascii="仿宋_GB2312" w:hAnsi="仿宋_GB2312" w:eastAsia="仿宋_GB2312" w:cs="仿宋_GB2312"/>
          <w:b w:val="0"/>
          <w:bCs w:val="0"/>
          <w:color w:val="auto"/>
          <w:sz w:val="32"/>
          <w:szCs w:val="32"/>
          <w:lang w:eastAsia="zh-CN"/>
        </w:rPr>
        <w:t>水利工程</w:t>
      </w:r>
      <w:r>
        <w:rPr>
          <w:rFonts w:hint="eastAsia" w:ascii="仿宋_GB2312" w:hAnsi="仿宋_GB2312" w:eastAsia="仿宋_GB2312" w:cs="仿宋_GB2312"/>
          <w:sz w:val="32"/>
          <w:szCs w:val="32"/>
          <w:lang w:val="en-US" w:eastAsia="zh-CN"/>
        </w:rPr>
        <w:t>供水运行维护成本核定</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不计利润和税金。根</w:t>
      </w:r>
      <w:r>
        <w:rPr>
          <w:rFonts w:hint="eastAsia" w:ascii="仿宋_GB2312" w:hAnsi="仿宋_GB2312" w:eastAsia="仿宋_GB2312" w:cs="仿宋_GB2312"/>
          <w:b w:val="0"/>
          <w:bCs w:val="0"/>
          <w:color w:val="auto"/>
          <w:sz w:val="32"/>
          <w:szCs w:val="32"/>
          <w:lang w:eastAsia="zh-CN"/>
        </w:rPr>
        <w:t>据对连州市</w:t>
      </w:r>
      <w:r>
        <w:rPr>
          <w:rFonts w:hint="eastAsia" w:ascii="仿宋_GB2312" w:hAnsi="仿宋_GB2312" w:eastAsia="仿宋_GB2312" w:cs="仿宋_GB2312"/>
          <w:b w:val="0"/>
          <w:bCs w:val="0"/>
          <w:color w:val="auto"/>
          <w:sz w:val="32"/>
          <w:szCs w:val="32"/>
          <w:lang w:val="en-US" w:eastAsia="zh-CN"/>
        </w:rPr>
        <w:t>上兰靛、围子、良塘、兰管、小水坪、潭岭、龙口7个</w:t>
      </w:r>
      <w:r>
        <w:rPr>
          <w:rFonts w:hint="eastAsia" w:ascii="仿宋_GB2312" w:hAnsi="仿宋_GB2312" w:eastAsia="仿宋_GB2312" w:cs="仿宋_GB2312"/>
          <w:b w:val="0"/>
          <w:bCs w:val="0"/>
          <w:color w:val="auto"/>
          <w:sz w:val="32"/>
          <w:szCs w:val="32"/>
          <w:lang w:eastAsia="zh-CN"/>
        </w:rPr>
        <w:t>中型灌区</w:t>
      </w:r>
      <w:r>
        <w:rPr>
          <w:rFonts w:hint="eastAsia" w:ascii="仿宋_GB2312" w:hAnsi="仿宋_GB2312" w:eastAsia="仿宋_GB2312" w:cs="仿宋_GB2312"/>
          <w:b w:val="0"/>
          <w:bCs w:val="0"/>
          <w:color w:val="auto"/>
          <w:sz w:val="32"/>
          <w:szCs w:val="32"/>
          <w:lang w:val="en-US" w:eastAsia="zh-CN"/>
        </w:rPr>
        <w:t>的</w:t>
      </w:r>
      <w:r>
        <w:rPr>
          <w:rFonts w:hint="eastAsia" w:ascii="仿宋_GB2312" w:hAnsi="仿宋_GB2312" w:eastAsia="仿宋_GB2312" w:cs="仿宋_GB2312"/>
          <w:b w:val="0"/>
          <w:bCs w:val="0"/>
          <w:color w:val="auto"/>
          <w:sz w:val="32"/>
          <w:szCs w:val="32"/>
          <w:lang w:eastAsia="zh-CN"/>
        </w:rPr>
        <w:t>供水</w:t>
      </w:r>
      <w:r>
        <w:rPr>
          <w:rFonts w:hint="eastAsia" w:ascii="仿宋_GB2312" w:hAnsi="仿宋_GB2312" w:eastAsia="仿宋_GB2312" w:cs="仿宋_GB2312"/>
          <w:b w:val="0"/>
          <w:bCs w:val="0"/>
          <w:color w:val="auto"/>
          <w:sz w:val="32"/>
          <w:szCs w:val="32"/>
          <w:lang w:val="en-US" w:eastAsia="zh-CN"/>
        </w:rPr>
        <w:t>运行维护</w:t>
      </w:r>
      <w:r>
        <w:rPr>
          <w:rFonts w:hint="eastAsia" w:ascii="仿宋_GB2312" w:hAnsi="仿宋_GB2312" w:eastAsia="仿宋_GB2312" w:cs="仿宋_GB2312"/>
          <w:b w:val="0"/>
          <w:bCs w:val="0"/>
          <w:color w:val="auto"/>
          <w:sz w:val="32"/>
          <w:szCs w:val="32"/>
          <w:lang w:eastAsia="zh-CN"/>
        </w:rPr>
        <w:t>成本测算，</w:t>
      </w:r>
      <w:r>
        <w:rPr>
          <w:rFonts w:hint="eastAsia" w:ascii="仿宋_GB2312" w:hAnsi="仿宋_GB2312" w:eastAsia="仿宋_GB2312" w:cs="仿宋_GB2312"/>
          <w:b w:val="0"/>
          <w:bCs w:val="0"/>
          <w:color w:val="auto"/>
          <w:sz w:val="32"/>
          <w:szCs w:val="32"/>
          <w:lang w:val="en-US" w:eastAsia="zh-CN"/>
        </w:rPr>
        <w:t>为统一中型灌区的农业用水价格标准，以能够覆盖7个中型灌区的供水运行维护成本为依据确定农业用水分级水价标准，</w:t>
      </w:r>
      <w:r>
        <w:rPr>
          <w:rFonts w:hint="eastAsia" w:ascii="仿宋_GB2312" w:hAnsi="仿宋_GB2312" w:eastAsia="仿宋_GB2312" w:cs="仿宋_GB2312"/>
          <w:color w:val="000000"/>
          <w:sz w:val="32"/>
          <w:szCs w:val="32"/>
          <w:lang w:val="en-US" w:eastAsia="zh-CN"/>
        </w:rPr>
        <w:t>农业用水按</w:t>
      </w:r>
      <w:r>
        <w:rPr>
          <w:rFonts w:hint="eastAsia" w:ascii="仿宋_GB2312" w:hAnsi="仿宋_GB2312" w:eastAsia="仿宋_GB2312" w:cs="仿宋_GB2312"/>
          <w:color w:val="auto"/>
          <w:sz w:val="32"/>
          <w:szCs w:val="32"/>
          <w:lang w:val="en-US" w:eastAsia="zh-CN"/>
        </w:rPr>
        <w:t>灌区骨干工程供水价格、灌区末级渠系供水价格、终端水价三级核定价格标准，标准如下：</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灌区骨干工程供水价格＝灌区骨干工程单位供水运行维护成本＝0.093（元/m</w:t>
      </w:r>
      <w:r>
        <w:rPr>
          <w:rFonts w:hint="eastAsia" w:ascii="仿宋_GB2312" w:hAnsi="仿宋_GB2312" w:eastAsia="仿宋_GB2312" w:cs="仿宋_GB2312"/>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灌区末级渠系供水价格＝灌区末级渠系单位供水运行维护成本＝0.108（元/m</w:t>
      </w:r>
      <w:r>
        <w:rPr>
          <w:rFonts w:hint="eastAsia" w:ascii="仿宋_GB2312" w:hAnsi="仿宋_GB2312" w:eastAsia="仿宋_GB2312" w:cs="仿宋_GB2312"/>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64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终端水价＝终端水价单位运行维护成本＝0.114（元/m</w:t>
      </w:r>
      <w:r>
        <w:rPr>
          <w:rFonts w:hint="eastAsia" w:ascii="仿宋_GB2312" w:hAnsi="仿宋_GB2312" w:eastAsia="仿宋_GB2312" w:cs="仿宋_GB2312"/>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w:t>
      </w:r>
    </w:p>
    <w:p>
      <w:pPr>
        <w:numPr>
          <w:ilvl w:val="0"/>
          <w:numId w:val="0"/>
        </w:numPr>
        <w:ind w:firstLine="640" w:firstLineChars="200"/>
        <w:jc w:val="both"/>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lang w:val="en-US" w:eastAsia="zh-CN"/>
        </w:rPr>
        <w:t>为了</w:t>
      </w:r>
      <w:r>
        <w:rPr>
          <w:rFonts w:hint="eastAsia" w:ascii="仿宋_GB2312" w:hAnsi="仿宋_GB2312" w:eastAsia="仿宋_GB2312" w:cs="仿宋_GB2312"/>
          <w:b w:val="0"/>
          <w:bCs w:val="0"/>
          <w:color w:val="auto"/>
          <w:sz w:val="32"/>
          <w:szCs w:val="32"/>
          <w:lang w:eastAsia="zh-CN"/>
        </w:rPr>
        <w:t>区分粮食作物、经济作物、养殖业等用水类型，统筹考虑用水量、生产效益、区域农业发展政策等，在终端用水环节实行分类水价</w:t>
      </w:r>
      <w:r>
        <w:rPr>
          <w:rFonts w:hint="eastAsia" w:ascii="仿宋_GB2312" w:hAnsi="仿宋_GB2312" w:eastAsia="仿宋_GB2312" w:cs="仿宋_GB2312"/>
          <w:color w:val="auto"/>
          <w:sz w:val="32"/>
          <w:szCs w:val="32"/>
          <w:lang w:val="en-US" w:eastAsia="zh-CN"/>
        </w:rPr>
        <w:t>终端水价按粮食作物、经济作物、养殖业不同用水价格标准执行。</w:t>
      </w:r>
      <w:r>
        <w:rPr>
          <w:rFonts w:hint="eastAsia" w:ascii="仿宋_GB2312" w:hAnsi="仿宋_GB2312" w:eastAsia="仿宋_GB2312" w:cs="仿宋_GB2312"/>
          <w:b w:val="0"/>
          <w:bCs w:val="0"/>
          <w:color w:val="auto"/>
          <w:sz w:val="32"/>
          <w:szCs w:val="32"/>
          <w:lang w:eastAsia="zh-CN"/>
        </w:rPr>
        <w:t>具体标准为：</w:t>
      </w:r>
    </w:p>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粮食作物用水执行成本水价</w:t>
      </w:r>
      <w:r>
        <w:rPr>
          <w:rFonts w:hint="eastAsia" w:ascii="仿宋_GB2312" w:hAnsi="仿宋_GB2312" w:eastAsia="仿宋_GB2312" w:cs="仿宋_GB2312"/>
          <w:b w:val="0"/>
          <w:bCs w:val="0"/>
          <w:color w:val="auto"/>
          <w:sz w:val="32"/>
          <w:szCs w:val="32"/>
          <w:lang w:val="en-US" w:eastAsia="zh-CN"/>
        </w:rPr>
        <w:t>0.114元/m</w:t>
      </w:r>
      <w:r>
        <w:rPr>
          <w:rFonts w:hint="eastAsia" w:ascii="仿宋_GB2312" w:hAnsi="仿宋_GB2312" w:eastAsia="仿宋_GB2312" w:cs="仿宋_GB2312"/>
          <w:b w:val="0"/>
          <w:bCs w:val="0"/>
          <w:color w:val="auto"/>
          <w:sz w:val="32"/>
          <w:szCs w:val="32"/>
          <w:vertAlign w:val="superscript"/>
          <w:lang w:val="en-US" w:eastAsia="zh-CN"/>
        </w:rPr>
        <w:t>3</w:t>
      </w:r>
      <w:r>
        <w:rPr>
          <w:rFonts w:hint="eastAsia" w:ascii="仿宋_GB2312" w:hAnsi="仿宋_GB2312" w:eastAsia="仿宋_GB2312" w:cs="仿宋_GB2312"/>
          <w:b w:val="0"/>
          <w:bCs w:val="0"/>
          <w:color w:val="auto"/>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经济作物用水加收成本水价的5%执行0.120元/m</w:t>
      </w:r>
      <w:r>
        <w:rPr>
          <w:rFonts w:hint="eastAsia" w:ascii="仿宋_GB2312" w:hAnsi="仿宋_GB2312" w:eastAsia="仿宋_GB2312" w:cs="仿宋_GB2312"/>
          <w:b w:val="0"/>
          <w:bCs w:val="0"/>
          <w:color w:val="auto"/>
          <w:sz w:val="32"/>
          <w:szCs w:val="32"/>
          <w:vertAlign w:val="superscript"/>
          <w:lang w:val="en-US" w:eastAsia="zh-CN"/>
        </w:rPr>
        <w:t>3</w:t>
      </w:r>
      <w:r>
        <w:rPr>
          <w:rFonts w:hint="eastAsia" w:ascii="仿宋_GB2312" w:hAnsi="仿宋_GB2312" w:eastAsia="仿宋_GB2312" w:cs="仿宋_GB2312"/>
          <w:b w:val="0"/>
          <w:bCs w:val="0"/>
          <w:color w:val="auto"/>
          <w:sz w:val="32"/>
          <w:szCs w:val="32"/>
          <w:lang w:val="en-US" w:eastAsia="zh-CN"/>
        </w:rPr>
        <w:t>；</w:t>
      </w:r>
    </w:p>
    <w:p>
      <w:pPr>
        <w:numPr>
          <w:ilvl w:val="0"/>
          <w:numId w:val="0"/>
        </w:numPr>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养殖业用水加收成本水价的10%执行0.125元/m</w:t>
      </w:r>
      <w:r>
        <w:rPr>
          <w:rFonts w:hint="eastAsia" w:ascii="仿宋_GB2312" w:hAnsi="仿宋_GB2312" w:eastAsia="仿宋_GB2312" w:cs="仿宋_GB2312"/>
          <w:b w:val="0"/>
          <w:bCs w:val="0"/>
          <w:color w:val="auto"/>
          <w:sz w:val="32"/>
          <w:szCs w:val="32"/>
          <w:vertAlign w:val="superscript"/>
          <w:lang w:val="en-US" w:eastAsia="zh-CN"/>
        </w:rPr>
        <w:t>3</w:t>
      </w:r>
      <w:r>
        <w:rPr>
          <w:rFonts w:hint="eastAsia" w:ascii="仿宋_GB2312" w:hAnsi="仿宋_GB2312" w:eastAsia="仿宋_GB2312" w:cs="仿宋_GB2312"/>
          <w:b w:val="0"/>
          <w:bCs w:val="0"/>
          <w:color w:val="auto"/>
          <w:sz w:val="32"/>
          <w:szCs w:val="32"/>
          <w:lang w:val="en-US" w:eastAsia="zh-CN"/>
        </w:rPr>
        <w:t>。</w:t>
      </w:r>
    </w:p>
    <w:p>
      <w:pPr>
        <w:numPr>
          <w:ilvl w:val="0"/>
          <w:numId w:val="0"/>
        </w:numPr>
        <w:ind w:firstLine="640" w:firstLineChars="200"/>
        <w:jc w:val="both"/>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i w:val="0"/>
          <w:snapToGrid/>
          <w:color w:val="000000"/>
          <w:sz w:val="32"/>
          <w:shd w:val="clear" w:color="auto" w:fill="FFFFFF"/>
          <w:lang w:val="en-US" w:eastAsia="zh-CN"/>
        </w:rPr>
        <w:t>因此方案的</w:t>
      </w:r>
      <w:r>
        <w:rPr>
          <w:rFonts w:hint="eastAsia" w:ascii="仿宋_GB2312" w:hAnsi="仿宋_GB2312" w:eastAsia="仿宋_GB2312" w:cs="仿宋_GB2312"/>
          <w:b w:val="0"/>
          <w:bCs w:val="0"/>
          <w:color w:val="auto"/>
          <w:sz w:val="32"/>
          <w:szCs w:val="36"/>
          <w:lang w:val="en-US" w:eastAsia="zh-CN"/>
        </w:rPr>
        <w:t>农业用水价格和</w:t>
      </w:r>
      <w:r>
        <w:rPr>
          <w:rFonts w:hint="eastAsia" w:ascii="仿宋_GB2312" w:hAnsi="仿宋_GB2312" w:eastAsia="仿宋_GB2312" w:cs="仿宋_GB2312"/>
          <w:b w:val="0"/>
          <w:i w:val="0"/>
          <w:snapToGrid/>
          <w:color w:val="000000"/>
          <w:sz w:val="32"/>
          <w:shd w:val="clear" w:color="auto" w:fill="FFFFFF"/>
          <w:lang w:val="en-US" w:eastAsia="zh-CN"/>
        </w:rPr>
        <w:t>实行农业用水实行分级和分类水价标准其合理性、可行性评估无异议。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spacing w:beforeAutospacing="0" w:afterAutospacing="0" w:line="240" w:lineRule="auto"/>
        <w:ind w:left="0" w:right="0" w:rightChars="0" w:firstLine="640"/>
        <w:jc w:val="left"/>
        <w:textAlignment w:val="auto"/>
        <w:outlineLvl w:val="9"/>
        <w:rPr>
          <w:rFonts w:hint="eastAsia" w:ascii="仿宋_GB2312" w:hAnsi="仿宋_GB2312" w:eastAsia="仿宋_GB2312" w:cs="仿宋_GB2312"/>
          <w:i w:val="0"/>
          <w:caps w:val="0"/>
          <w:color w:val="auto"/>
          <w:spacing w:val="0"/>
          <w:kern w:val="0"/>
          <w:sz w:val="32"/>
          <w:szCs w:val="32"/>
          <w:shd w:val="clear" w:color="080000" w:fill="FFFFFF"/>
          <w:lang w:val="en-US" w:eastAsia="zh-CN"/>
        </w:rPr>
      </w:pPr>
      <w:r>
        <w:rPr>
          <w:rFonts w:hint="eastAsia" w:ascii="楷体_GB2312" w:hAnsi="楷体_GB2312" w:eastAsia="楷体_GB2312" w:cs="楷体_GB2312"/>
          <w:b/>
          <w:bCs/>
          <w:i w:val="0"/>
          <w:caps w:val="0"/>
          <w:color w:val="000000"/>
          <w:spacing w:val="0"/>
          <w:kern w:val="0"/>
          <w:sz w:val="32"/>
          <w:szCs w:val="32"/>
          <w:shd w:val="clear" w:color="auto" w:fill="FFFFFF"/>
          <w:lang w:val="en-US" w:eastAsia="zh-CN" w:bidi="ar"/>
        </w:rPr>
        <w:t>（三）农业用水实行超定额超计划累进加价制度。</w:t>
      </w:r>
      <w:r>
        <w:rPr>
          <w:rFonts w:hint="eastAsia" w:ascii="仿宋_GB2312" w:hAnsi="仿宋_GB2312" w:eastAsia="仿宋_GB2312" w:cs="仿宋_GB2312"/>
          <w:b w:val="0"/>
          <w:bCs w:val="0"/>
          <w:color w:val="auto"/>
          <w:sz w:val="32"/>
          <w:szCs w:val="32"/>
          <w:lang w:eastAsia="zh-CN"/>
        </w:rPr>
        <w:t>农业用水实行定额管理和总量“封顶”政策，区分不同作物和养殖产品，按照“多用水多付费”的原则，推行分档水价制度，</w:t>
      </w:r>
      <w:r>
        <w:rPr>
          <w:rFonts w:hint="eastAsia" w:ascii="仿宋_GB2312" w:hAnsi="仿宋_GB2312" w:eastAsia="仿宋_GB2312" w:cs="仿宋_GB2312"/>
          <w:b w:val="0"/>
          <w:i w:val="0"/>
          <w:snapToGrid/>
          <w:color w:val="000000"/>
          <w:sz w:val="32"/>
          <w:lang w:eastAsia="zh-CN"/>
        </w:rPr>
        <w:t>对超计划、超定额用水部分，按照用水类别和超计划用水幅度，以基本水价1倍至3倍累进加价计收水费，促进农业节水。</w:t>
      </w:r>
      <w:r>
        <w:rPr>
          <w:rFonts w:hint="eastAsia" w:ascii="仿宋_GB2312" w:hAnsi="仿宋_GB2312" w:eastAsia="仿宋_GB2312" w:cs="仿宋_GB2312"/>
          <w:b w:val="0"/>
          <w:bCs w:val="0"/>
          <w:color w:val="auto"/>
          <w:sz w:val="32"/>
          <w:szCs w:val="32"/>
          <w:lang w:val="en-US" w:eastAsia="zh-CN"/>
        </w:rPr>
        <w:t>用水计划、定额按市水行政主管部门核定、审批的用水量为准。加价</w:t>
      </w:r>
      <w:r>
        <w:rPr>
          <w:rFonts w:hint="eastAsia" w:ascii="仿宋_GB2312" w:hAnsi="仿宋_GB2312" w:eastAsia="仿宋_GB2312" w:cs="仿宋_GB2312"/>
          <w:i w:val="0"/>
          <w:caps w:val="0"/>
          <w:color w:val="auto"/>
          <w:spacing w:val="0"/>
          <w:kern w:val="0"/>
          <w:sz w:val="32"/>
          <w:szCs w:val="32"/>
          <w:shd w:val="clear" w:color="080000" w:fill="FFFFFF"/>
          <w:lang w:val="en-US" w:eastAsia="zh-CN"/>
        </w:rPr>
        <w:t>收入全额缴入财政专户,专项用于节水管理。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用水量超过定额（计划）50%（含50%）以内的部分，按对应分类水价的1.5倍计收水费；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用水量超过定额（计划）50%但未超过100%（含100%）的部分，按对应分类水价的2倍计收水费；</w:t>
      </w:r>
    </w:p>
    <w:p>
      <w:pPr>
        <w:numPr>
          <w:ilvl w:val="0"/>
          <w:numId w:val="0"/>
        </w:numPr>
        <w:kinsoku/>
        <w:autoSpaceDE/>
        <w:autoSpaceDN w:val="0"/>
        <w:spacing w:line="420" w:lineRule="atLeast"/>
        <w:ind w:firstLine="640" w:firstLineChars="200"/>
        <w:jc w:val="left"/>
        <w:rPr>
          <w:rFonts w:hint="eastAsia" w:ascii="仿宋_GB2312" w:hAnsi="仿宋_GB2312" w:eastAsia="仿宋_GB2312" w:cs="仿宋_GB2312"/>
          <w:i w:val="0"/>
          <w:caps w:val="0"/>
          <w:color w:val="auto"/>
          <w:spacing w:val="0"/>
          <w:kern w:val="0"/>
          <w:sz w:val="32"/>
          <w:szCs w:val="32"/>
          <w:shd w:val="clear" w:color="080000" w:fill="FFFFFF"/>
          <w:lang w:val="en-US" w:eastAsia="zh-CN"/>
        </w:rPr>
      </w:pPr>
      <w:r>
        <w:rPr>
          <w:rFonts w:hint="eastAsia" w:ascii="仿宋_GB2312" w:hAnsi="仿宋_GB2312" w:eastAsia="仿宋_GB2312" w:cs="仿宋_GB2312"/>
          <w:b w:val="0"/>
          <w:bCs w:val="0"/>
          <w:color w:val="auto"/>
          <w:sz w:val="32"/>
          <w:szCs w:val="32"/>
          <w:lang w:val="en-US" w:eastAsia="zh-CN"/>
        </w:rPr>
        <w:t>用水量超过定额（计划）100%以上的部分，按对应分类水价的3倍计收水费。</w:t>
      </w:r>
    </w:p>
    <w:p>
      <w:pPr>
        <w:numPr>
          <w:ilvl w:val="0"/>
          <w:numId w:val="0"/>
        </w:numPr>
        <w:kinsoku/>
        <w:autoSpaceDE/>
        <w:autoSpaceDN w:val="0"/>
        <w:spacing w:line="420" w:lineRule="atLeast"/>
        <w:ind w:firstLine="640" w:firstLineChars="200"/>
        <w:jc w:val="left"/>
        <w:rPr>
          <w:rFonts w:hint="eastAsia" w:ascii="仿宋_GB2312" w:hAnsi="仿宋_GB2312" w:eastAsia="仿宋_GB2312" w:cs="仿宋_GB2312"/>
          <w:b w:val="0"/>
          <w:i w:val="0"/>
          <w:snapToGrid/>
          <w:color w:val="000000"/>
          <w:sz w:val="32"/>
          <w:shd w:val="clear" w:color="auto" w:fill="FFFFFF"/>
          <w:lang w:val="en-US" w:eastAsia="zh-CN"/>
        </w:rPr>
      </w:pPr>
      <w:r>
        <w:rPr>
          <w:rFonts w:hint="eastAsia" w:ascii="仿宋_GB2312" w:hAnsi="仿宋_GB2312" w:eastAsia="仿宋_GB2312" w:cs="仿宋_GB2312"/>
          <w:b w:val="0"/>
          <w:i w:val="0"/>
          <w:snapToGrid/>
          <w:color w:val="000000"/>
          <w:sz w:val="32"/>
          <w:shd w:val="clear" w:color="auto" w:fill="FFFFFF"/>
          <w:lang w:val="en-US" w:eastAsia="zh-CN"/>
        </w:rPr>
        <w:t>因此方案</w:t>
      </w:r>
      <w:r>
        <w:rPr>
          <w:rFonts w:hint="eastAsia" w:ascii="仿宋_GB2312" w:hAnsi="仿宋_GB2312" w:eastAsia="仿宋_GB2312" w:cs="仿宋_GB2312"/>
          <w:b w:val="0"/>
          <w:bCs w:val="0"/>
          <w:i w:val="0"/>
          <w:snapToGrid/>
          <w:color w:val="000000"/>
          <w:sz w:val="32"/>
          <w:shd w:val="clear" w:color="auto" w:fill="FFFFFF"/>
          <w:lang w:val="en-US" w:eastAsia="zh-CN"/>
        </w:rPr>
        <w:t>实行</w:t>
      </w:r>
      <w: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t>超定额超计划累进加价制度</w:t>
      </w:r>
      <w:r>
        <w:rPr>
          <w:rFonts w:hint="eastAsia" w:ascii="仿宋_GB2312" w:hAnsi="仿宋_GB2312" w:eastAsia="仿宋_GB2312" w:cs="仿宋_GB2312"/>
          <w:b w:val="0"/>
          <w:i w:val="0"/>
          <w:snapToGrid/>
          <w:color w:val="000000"/>
          <w:sz w:val="32"/>
          <w:shd w:val="clear" w:color="auto" w:fill="FFFFFF"/>
          <w:lang w:val="en-US" w:eastAsia="zh-CN"/>
        </w:rPr>
        <w:t>其合理性、可行性评估无异议。</w:t>
      </w:r>
    </w:p>
    <w:p>
      <w:pPr>
        <w:keepNext w:val="0"/>
        <w:keepLines w:val="0"/>
        <w:pageBreakBefore w:val="0"/>
        <w:widowControl/>
        <w:numPr>
          <w:ilvl w:val="0"/>
          <w:numId w:val="1"/>
        </w:numPr>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left"/>
        <w:textAlignment w:val="auto"/>
        <w:outlineLvl w:val="9"/>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评估结论</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综合上述，该方案经过综合评估论证，其起草的必要性、合法性、合理性、可行性均无异议。</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left="0" w:leftChars="0" w:right="0" w:rightChars="0" w:firstLine="4480" w:firstLineChars="1400"/>
        <w:jc w:val="left"/>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连州市发展和改革局</w:t>
      </w:r>
    </w:p>
    <w:p>
      <w:pPr>
        <w:numPr>
          <w:ilvl w:val="0"/>
          <w:numId w:val="0"/>
        </w:numPr>
        <w:ind w:firstLine="4800" w:firstLineChars="1500"/>
        <w:jc w:val="both"/>
        <w:rPr>
          <w:rFonts w:hint="eastAsia" w:ascii="仿宋_GB2312" w:hAnsi="仿宋_GB2312" w:eastAsia="仿宋_GB2312" w:cs="仿宋_GB2312"/>
          <w:b w:val="0"/>
          <w:bCs w:val="0"/>
          <w:sz w:val="32"/>
          <w:szCs w:val="32"/>
          <w:lang w:eastAsia="zh-CN"/>
        </w:rPr>
      </w:pPr>
      <w:bookmarkStart w:id="0" w:name="_GoBack"/>
      <w:bookmarkEnd w:id="0"/>
      <w:r>
        <w:rPr>
          <w:rFonts w:hint="eastAsia" w:ascii="仿宋_GB2312" w:hAnsi="仿宋_GB2312" w:eastAsia="仿宋_GB2312" w:cs="仿宋_GB2312"/>
          <w:b w:val="0"/>
          <w:bCs w:val="0"/>
          <w:sz w:val="32"/>
          <w:szCs w:val="32"/>
          <w:lang w:eastAsia="zh-CN"/>
        </w:rPr>
        <w:t>2023年3月29日</w:t>
      </w:r>
    </w:p>
    <w:p>
      <w:pPr>
        <w:numPr>
          <w:ilvl w:val="0"/>
          <w:numId w:val="0"/>
        </w:numPr>
        <w:ind w:firstLine="640" w:firstLineChars="200"/>
        <w:jc w:val="both"/>
        <w:rPr>
          <w:rFonts w:hint="eastAsia" w:ascii="仿宋_GB2312" w:hAnsi="仿宋_GB2312" w:eastAsia="仿宋_GB2312" w:cs="仿宋_GB2312"/>
          <w:b w:val="0"/>
          <w:bCs w:val="0"/>
          <w:sz w:val="32"/>
          <w:szCs w:val="32"/>
          <w:lang w:eastAsia="zh-CN"/>
        </w:rPr>
      </w:pPr>
    </w:p>
    <w:p>
      <w:pPr>
        <w:numPr>
          <w:ilvl w:val="0"/>
          <w:numId w:val="0"/>
        </w:numPr>
        <w:ind w:firstLine="640" w:firstLineChars="200"/>
        <w:jc w:val="both"/>
        <w:rPr>
          <w:rFonts w:hint="eastAsia" w:ascii="仿宋_GB2312" w:hAnsi="仿宋_GB2312" w:eastAsia="仿宋_GB2312" w:cs="仿宋_GB2312"/>
          <w:b w:val="0"/>
          <w:bCs w:val="0"/>
          <w:sz w:val="32"/>
          <w:szCs w:val="32"/>
          <w:lang w:eastAsia="zh-CN"/>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singleLevel"/>
    <w:tmpl w:val="0000000B"/>
    <w:lvl w:ilvl="0" w:tentative="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7C3A40"/>
    <w:rsid w:val="0A584E96"/>
    <w:rsid w:val="13A02102"/>
    <w:rsid w:val="19175FF5"/>
    <w:rsid w:val="1BB43279"/>
    <w:rsid w:val="1C2F41CD"/>
    <w:rsid w:val="1E7C3A40"/>
    <w:rsid w:val="26C73436"/>
    <w:rsid w:val="3119658D"/>
    <w:rsid w:val="437D185F"/>
    <w:rsid w:val="4BDD5004"/>
    <w:rsid w:val="4E3268AF"/>
    <w:rsid w:val="51D3784E"/>
    <w:rsid w:val="527417AA"/>
    <w:rsid w:val="53EA7B5C"/>
    <w:rsid w:val="59166877"/>
    <w:rsid w:val="5F246081"/>
    <w:rsid w:val="6CA41663"/>
    <w:rsid w:val="6EA034CD"/>
    <w:rsid w:val="736B4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ormal (Web)"/>
    <w:basedOn w:val="7"/>
    <w:uiPriority w:val="0"/>
    <w:pPr>
      <w:spacing w:before="0" w:beforeLines="0" w:beforeAutospacing="0" w:after="0" w:afterLines="0" w:afterAutospacing="0"/>
      <w:ind w:left="0" w:right="0"/>
      <w:jc w:val="left"/>
    </w:pPr>
    <w:rPr>
      <w:kern w:val="0"/>
      <w:sz w:val="24"/>
      <w:lang w:val="en-US" w:eastAsia="zh-CN"/>
    </w:rPr>
  </w:style>
  <w:style w:type="paragraph" w:customStyle="1" w:styleId="7">
    <w:name w:val="正文 New"/>
    <w:qFormat/>
    <w:uiPriority w:val="0"/>
    <w:pPr>
      <w:widowControl w:val="0"/>
      <w:jc w:val="both"/>
    </w:pPr>
    <w:rPr>
      <w:rFonts w:ascii="Calibri" w:hAnsi="Calibri" w:eastAsia="宋体" w:cs="黑体"/>
      <w:kern w:val="2"/>
      <w:sz w:val="21"/>
      <w:szCs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2023-03-21T01:03:00Z</dcterms:created>
  <dc:creator>Administrator</dc:creator>
  <cp:lastModifiedBy>Administrator</cp:lastModifiedBy>
  <cp:lastPrinted>2023-03-29T01:09:46Z</cp:lastPrinted>
  <dcterms:modified xsi:type="dcterms:W3CDTF">2023-03-29T01:48:55Z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